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before="113"/>
        <w:rPr>
          <w:rFonts w:hint="eastAsia" w:ascii="仿宋_GB2312" w:eastAsia="仿宋_GB2312"/>
          <w:color w:val="000000"/>
          <w:kern w:val="0"/>
          <w:sz w:val="32"/>
          <w:szCs w:val="32"/>
        </w:rPr>
      </w:pPr>
      <w:r>
        <w:rPr>
          <w:rFonts w:hint="eastAsia" w:ascii="仿宋_GB2312" w:eastAsia="仿宋_GB2312"/>
          <w:color w:val="000000"/>
          <w:kern w:val="0"/>
          <w:sz w:val="32"/>
          <w:szCs w:val="32"/>
        </w:rPr>
        <w:t>附件</w:t>
      </w:r>
    </w:p>
    <w:p>
      <w:pPr>
        <w:autoSpaceDE w:val="0"/>
        <w:autoSpaceDN w:val="0"/>
        <w:adjustRightInd w:val="0"/>
        <w:spacing w:before="113"/>
        <w:jc w:val="center"/>
        <w:rPr>
          <w:rFonts w:hint="eastAsia" w:ascii="宋体" w:hAnsi="宋体"/>
          <w:sz w:val="44"/>
          <w:szCs w:val="44"/>
        </w:rPr>
      </w:pPr>
      <w:r>
        <w:rPr>
          <w:rFonts w:hint="eastAsia" w:ascii="宋体" w:hAnsi="宋体"/>
          <w:sz w:val="44"/>
          <w:szCs w:val="44"/>
        </w:rPr>
        <w:t>报考条件</w:t>
      </w:r>
    </w:p>
    <w:p>
      <w:pPr>
        <w:keepNext w:val="0"/>
        <w:keepLines w:val="0"/>
        <w:pageBreakBefore w:val="0"/>
        <w:kinsoku/>
        <w:wordWrap/>
        <w:overflowPunct/>
        <w:topLinePunct w:val="0"/>
        <w:autoSpaceDE w:val="0"/>
        <w:autoSpaceDN w:val="0"/>
        <w:bidi w:val="0"/>
        <w:adjustRightInd w:val="0"/>
        <w:snapToGrid/>
        <w:spacing w:before="113" w:line="500" w:lineRule="exact"/>
        <w:ind w:firstLine="361" w:firstLineChars="100"/>
        <w:textAlignment w:val="auto"/>
        <w:rPr>
          <w:rFonts w:hint="eastAsia" w:ascii="仿宋_GB2312" w:eastAsia="仿宋_GB2312"/>
          <w:color w:val="000000"/>
          <w:kern w:val="0"/>
          <w:sz w:val="32"/>
          <w:szCs w:val="32"/>
        </w:rPr>
      </w:pPr>
      <w:r>
        <w:rPr>
          <w:rFonts w:hint="eastAsia"/>
          <w:b/>
          <w:color w:val="000000"/>
          <w:sz w:val="36"/>
          <w:szCs w:val="36"/>
        </w:rPr>
        <w:t>考全科：</w:t>
      </w:r>
    </w:p>
    <w:p>
      <w:pPr>
        <w:keepNext w:val="0"/>
        <w:keepLines w:val="0"/>
        <w:pageBreakBefore w:val="0"/>
        <w:widowControl/>
        <w:kinsoku/>
        <w:wordWrap/>
        <w:overflowPunct/>
        <w:topLinePunct w:val="0"/>
        <w:bidi w:val="0"/>
        <w:snapToGrid/>
        <w:spacing w:line="500" w:lineRule="exact"/>
        <w:ind w:firstLine="480" w:firstLineChars="200"/>
        <w:jc w:val="left"/>
        <w:textAlignment w:val="auto"/>
        <w:rPr>
          <w:rFonts w:hint="eastAsia" w:ascii="宋体 ，Arial" w:hAnsi="宋体" w:eastAsia="宋体 ，Arial" w:cs="宋体"/>
          <w:color w:val="000000"/>
          <w:kern w:val="0"/>
          <w:sz w:val="24"/>
        </w:rPr>
      </w:pPr>
      <w:r>
        <w:rPr>
          <w:rFonts w:hint="eastAsia" w:ascii="微软雅黑" w:hAnsi="微软雅黑" w:eastAsia="微软雅黑"/>
          <w:color w:val="000000"/>
          <w:sz w:val="24"/>
        </w:rPr>
        <w:t>凡中华人民共和国公民和获准在我国境内就业的外籍人员，具备以下条件之一者，均可申请参加执业药师职业资格考试：</w:t>
      </w:r>
      <w:r>
        <w:rPr>
          <w:rFonts w:hint="eastAsia" w:ascii="微软雅黑" w:hAnsi="微软雅黑" w:eastAsia="微软雅黑"/>
          <w:color w:val="000000"/>
          <w:sz w:val="24"/>
        </w:rPr>
        <w:br w:type="textWrapping"/>
      </w:r>
      <w:r>
        <w:rPr>
          <w:rFonts w:hint="eastAsia" w:ascii="微软雅黑" w:hAnsi="微软雅黑" w:eastAsia="微软雅黑"/>
          <w:color w:val="000000"/>
          <w:sz w:val="24"/>
        </w:rPr>
        <w:t xml:space="preserve">    （一）取得药学类、中药学类专业大专学历，在药学或中药学岗位工作满5年；</w:t>
      </w:r>
      <w:r>
        <w:rPr>
          <w:rFonts w:hint="eastAsia" w:ascii="微软雅黑" w:hAnsi="微软雅黑" w:eastAsia="微软雅黑"/>
          <w:color w:val="000000"/>
          <w:sz w:val="24"/>
        </w:rPr>
        <w:br w:type="textWrapping"/>
      </w:r>
      <w:r>
        <w:rPr>
          <w:rFonts w:hint="eastAsia" w:ascii="微软雅黑" w:hAnsi="微软雅黑" w:eastAsia="微软雅黑"/>
          <w:color w:val="000000"/>
          <w:sz w:val="24"/>
        </w:rPr>
        <w:t xml:space="preserve">    （二）取得药学类、中药学类专业大学本科学历或学士学位，在药学或中药学岗位工作满3年；</w:t>
      </w:r>
      <w:r>
        <w:rPr>
          <w:rFonts w:hint="eastAsia" w:ascii="微软雅黑" w:hAnsi="微软雅黑" w:eastAsia="微软雅黑"/>
          <w:color w:val="000000"/>
          <w:sz w:val="24"/>
        </w:rPr>
        <w:br w:type="textWrapping"/>
      </w:r>
      <w:r>
        <w:rPr>
          <w:rFonts w:hint="eastAsia" w:ascii="微软雅黑" w:hAnsi="微软雅黑" w:eastAsia="微软雅黑"/>
          <w:color w:val="000000"/>
          <w:sz w:val="24"/>
        </w:rPr>
        <w:t xml:space="preserve">    （三）取得药学类、中药学类专业第二学士学位、研究生班毕业或硕士学位，在药学或中药学岗位工作满1年；</w:t>
      </w:r>
      <w:r>
        <w:rPr>
          <w:rFonts w:hint="eastAsia" w:ascii="微软雅黑" w:hAnsi="微软雅黑" w:eastAsia="微软雅黑"/>
          <w:color w:val="000000"/>
          <w:sz w:val="24"/>
        </w:rPr>
        <w:br w:type="textWrapping"/>
      </w:r>
      <w:r>
        <w:rPr>
          <w:rFonts w:hint="eastAsia" w:ascii="微软雅黑" w:hAnsi="微软雅黑" w:eastAsia="微软雅黑"/>
          <w:color w:val="000000"/>
          <w:sz w:val="24"/>
        </w:rPr>
        <w:t xml:space="preserve">    （四）取得药学类、中药学类专业博士学位；</w:t>
      </w:r>
      <w:r>
        <w:rPr>
          <w:rFonts w:hint="eastAsia" w:ascii="微软雅黑" w:hAnsi="微软雅黑" w:eastAsia="微软雅黑"/>
          <w:color w:val="000000"/>
          <w:sz w:val="24"/>
        </w:rPr>
        <w:br w:type="textWrapping"/>
      </w:r>
      <w:r>
        <w:rPr>
          <w:rFonts w:hint="eastAsia" w:ascii="微软雅黑" w:hAnsi="微软雅黑" w:eastAsia="微软雅黑"/>
          <w:color w:val="000000"/>
          <w:sz w:val="24"/>
        </w:rPr>
        <w:t xml:space="preserve">    （五）取得药学类、中药学类相关专业相应学历或学位的人员，在药学或中药学岗位工作的年限相应增加1年。</w:t>
      </w:r>
    </w:p>
    <w:p>
      <w:pPr>
        <w:keepNext w:val="0"/>
        <w:keepLines w:val="0"/>
        <w:pageBreakBefore w:val="0"/>
        <w:kinsoku/>
        <w:wordWrap/>
        <w:overflowPunct/>
        <w:topLinePunct w:val="0"/>
        <w:bidi w:val="0"/>
        <w:snapToGrid/>
        <w:spacing w:line="500" w:lineRule="exact"/>
        <w:ind w:firstLine="361" w:firstLineChars="100"/>
        <w:textAlignment w:val="auto"/>
        <w:rPr>
          <w:rFonts w:hint="eastAsia" w:ascii="宋体" w:hAnsi="宋体"/>
          <w:b/>
          <w:color w:val="000000"/>
          <w:sz w:val="36"/>
          <w:szCs w:val="36"/>
        </w:rPr>
      </w:pPr>
      <w:r>
        <w:rPr>
          <w:rFonts w:hint="eastAsia" w:ascii="宋体" w:hAnsi="宋体"/>
          <w:b/>
          <w:color w:val="000000"/>
          <w:sz w:val="36"/>
          <w:szCs w:val="36"/>
        </w:rPr>
        <w:t>部分科目免试：</w:t>
      </w:r>
    </w:p>
    <w:p>
      <w:pPr>
        <w:keepNext w:val="0"/>
        <w:keepLines w:val="0"/>
        <w:pageBreakBefore w:val="0"/>
        <w:kinsoku/>
        <w:wordWrap/>
        <w:overflowPunct/>
        <w:topLinePunct w:val="0"/>
        <w:bidi w:val="0"/>
        <w:snapToGrid/>
        <w:spacing w:line="500" w:lineRule="exact"/>
        <w:ind w:firstLine="480" w:firstLineChars="200"/>
        <w:jc w:val="left"/>
        <w:textAlignment w:val="auto"/>
        <w:rPr>
          <w:rFonts w:hint="eastAsia" w:ascii="微软雅黑" w:hAnsi="微软雅黑" w:eastAsia="微软雅黑"/>
          <w:color w:val="000000"/>
          <w:sz w:val="24"/>
          <w:lang w:eastAsia="zh-CN"/>
        </w:rPr>
      </w:pPr>
      <w:r>
        <w:rPr>
          <w:rFonts w:hint="eastAsia" w:ascii="微软雅黑" w:hAnsi="微软雅黑" w:eastAsia="微软雅黑"/>
          <w:color w:val="000000"/>
          <w:sz w:val="24"/>
        </w:rPr>
        <w:t>按照国家有关规定取得药学或医学专业高级职称并在药学岗位工作的，可免试药学专业知识（一）、药学专业知识（二），只参加药事管理与法规、药学综合知识与技能两个科目的考试；取得中药学或中医学专业高级职称并在中药学岗位工作的，可免试中药学专业知识（一）、中药学专业知识（二），只参加药事管理与法规、中药学综合知识与技能两个科目的考试</w:t>
      </w:r>
      <w:r>
        <w:rPr>
          <w:rFonts w:hint="eastAsia" w:ascii="微软雅黑" w:hAnsi="微软雅黑" w:eastAsia="微软雅黑"/>
          <w:color w:val="000000"/>
          <w:sz w:val="24"/>
          <w:lang w:eastAsia="zh-CN"/>
        </w:rPr>
        <w:t>。</w:t>
      </w:r>
    </w:p>
    <w:p>
      <w:pPr>
        <w:keepNext w:val="0"/>
        <w:keepLines w:val="0"/>
        <w:pageBreakBefore w:val="0"/>
        <w:kinsoku/>
        <w:wordWrap/>
        <w:overflowPunct/>
        <w:topLinePunct w:val="0"/>
        <w:bidi w:val="0"/>
        <w:snapToGrid/>
        <w:spacing w:line="500" w:lineRule="exact"/>
        <w:ind w:firstLine="480" w:firstLineChars="200"/>
        <w:jc w:val="left"/>
        <w:textAlignment w:val="auto"/>
        <w:rPr>
          <w:rFonts w:hint="eastAsia" w:ascii="微软雅黑" w:hAnsi="微软雅黑" w:eastAsia="微软雅黑"/>
          <w:color w:val="000000"/>
          <w:sz w:val="24"/>
          <w:lang w:val="en-US" w:eastAsia="zh-CN"/>
        </w:rPr>
      </w:pPr>
      <w:r>
        <w:rPr>
          <w:rFonts w:hint="eastAsia" w:ascii="微软雅黑" w:hAnsi="微软雅黑" w:eastAsia="微软雅黑"/>
          <w:color w:val="000000"/>
          <w:sz w:val="24"/>
          <w:lang w:val="en-US" w:eastAsia="zh-CN"/>
        </w:rPr>
        <w:t>注：符合免试部分科目的报考人员，取得高级职称与在药学、中药学岗位工作两个条件必须同时具备。高级职称的类别为从事药学或中药学岗位工作获得的药学、医学或医药学专业高级职称。从事医疗、预防、保健、医技、护理工作的主任（副主任）医师、主任（副主任）技师、主任（副主任）护师，从事高等院校教学、科研、管理工作的教授（副教授）等不符合免考两科的条件。</w:t>
      </w:r>
    </w:p>
    <w:p/>
    <w:p>
      <w:bookmarkStart w:id="0" w:name="_GoBack"/>
      <w:bookmarkEnd w:id="0"/>
    </w:p>
    <w:sectPr>
      <w:footerReference r:id="rId3" w:type="default"/>
      <w:pgSz w:w="11906" w:h="16838"/>
      <w:pgMar w:top="1213" w:right="1800" w:bottom="1157"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宋体 ，Arial">
    <w:altName w:val="宋体"/>
    <w:panose1 w:val="00000000000000000000"/>
    <w:charset w:val="86"/>
    <w:family w:val="roman"/>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5"/>
      </w:rPr>
    </w:pPr>
    <w:r>
      <w:fldChar w:fldCharType="begin"/>
    </w:r>
    <w:r>
      <w:rPr>
        <w:rStyle w:val="5"/>
      </w:rPr>
      <w:instrText xml:space="preserve">PAGE  </w:instrText>
    </w:r>
    <w:r>
      <w:fldChar w:fldCharType="separate"/>
    </w:r>
    <w:r>
      <w:rPr>
        <w:rStyle w:val="5"/>
      </w:rPr>
      <w:t>17</w:t>
    </w:r>
    <w: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BA68E0"/>
    <w:rsid w:val="75BA68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character" w:styleId="5">
    <w:name w:val="page number"/>
    <w:basedOn w:val="4"/>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2020-08-11T01:34:00Z</dcterms:created>
  <dc:creator>Administrator</dc:creator>
  <cp:lastModifiedBy>Administrator</cp:lastModifiedBy>
  <dcterms:modified xsi:type="dcterms:W3CDTF">2020-08-11T01:34:53Z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