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val="0"/>
        <w:wordWrap/>
        <w:adjustRightInd/>
        <w:snapToGrid/>
        <w:spacing w:line="520" w:lineRule="exact"/>
        <w:jc w:val="left"/>
        <w:textAlignment w:val="auto"/>
        <w:rPr>
          <w:rFonts w:hint="default" w:ascii="黑体" w:hAnsi="黑体" w:eastAsia="黑体" w:cs="黑体"/>
          <w:color w:val="auto"/>
          <w:sz w:val="32"/>
          <w:szCs w:val="32"/>
          <w:highlight w:val="none"/>
          <w:lang w:eastAsia="zh-CN"/>
        </w:rPr>
      </w:pPr>
    </w:p>
    <w:p>
      <w:pPr>
        <w:pStyle w:val="3"/>
        <w:widowControl w:val="0"/>
        <w:wordWrap/>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石家庄市人社领域</w:t>
      </w:r>
      <w:r>
        <w:rPr>
          <w:rFonts w:hint="default" w:ascii="方正小标宋简体" w:hAnsi="方正小标宋简体" w:eastAsia="方正小标宋简体" w:cs="方正小标宋简体"/>
          <w:color w:val="auto"/>
          <w:sz w:val="44"/>
          <w:szCs w:val="44"/>
          <w:highlight w:val="none"/>
          <w:lang w:eastAsia="zh-CN"/>
        </w:rPr>
        <w:t>保留证明事项目录</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2024年</w:t>
      </w:r>
      <w:r>
        <w:rPr>
          <w:rFonts w:hint="eastAsia" w:ascii="方正小标宋简体" w:hAnsi="方正小标宋简体" w:eastAsia="方正小标宋简体" w:cs="方正小标宋简体"/>
          <w:color w:val="auto"/>
          <w:sz w:val="44"/>
          <w:szCs w:val="44"/>
          <w:highlight w:val="none"/>
          <w:lang w:eastAsia="zh-CN"/>
        </w:rPr>
        <w:t>）</w:t>
      </w:r>
    </w:p>
    <w:tbl>
      <w:tblPr>
        <w:tblStyle w:val="7"/>
        <w:tblW w:w="13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887"/>
        <w:gridCol w:w="1000"/>
        <w:gridCol w:w="2300"/>
        <w:gridCol w:w="2218"/>
        <w:gridCol w:w="2070"/>
        <w:gridCol w:w="2075"/>
        <w:gridCol w:w="900"/>
        <w:gridCol w:w="837"/>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01" w:type="dxa"/>
            <w:vMerge w:val="restart"/>
            <w:vAlign w:val="center"/>
          </w:tcPr>
          <w:p>
            <w:pPr>
              <w:pStyle w:val="3"/>
              <w:wordWrap/>
              <w:adjustRightInd/>
              <w:snapToGrid/>
              <w:spacing w:line="200" w:lineRule="exact"/>
              <w:jc w:val="center"/>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序号</w:t>
            </w:r>
          </w:p>
        </w:tc>
        <w:tc>
          <w:tcPr>
            <w:tcW w:w="887"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名称</w:t>
            </w:r>
          </w:p>
        </w:tc>
        <w:tc>
          <w:tcPr>
            <w:tcW w:w="100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用途</w:t>
            </w:r>
          </w:p>
        </w:tc>
        <w:tc>
          <w:tcPr>
            <w:tcW w:w="8663" w:type="dxa"/>
            <w:gridSpan w:val="4"/>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设定依据</w:t>
            </w:r>
          </w:p>
        </w:tc>
        <w:tc>
          <w:tcPr>
            <w:tcW w:w="90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索证</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837"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出具</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83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601" w:type="dxa"/>
            <w:vMerge w:val="continue"/>
            <w:vAlign w:val="center"/>
          </w:tcPr>
          <w:p>
            <w:pPr>
              <w:pStyle w:val="3"/>
              <w:wordWrap/>
              <w:adjustRightInd/>
              <w:snapToGrid/>
              <w:spacing w:line="200" w:lineRule="exact"/>
              <w:jc w:val="center"/>
              <w:rPr>
                <w:rFonts w:hint="eastAsia" w:ascii="黑体" w:hAnsi="黑体" w:eastAsia="黑体" w:cs="黑体"/>
                <w:color w:val="auto"/>
                <w:kern w:val="0"/>
                <w:sz w:val="15"/>
                <w:szCs w:val="15"/>
                <w:highlight w:val="none"/>
                <w:lang w:eastAsia="zh-CN"/>
              </w:rPr>
            </w:pPr>
          </w:p>
        </w:tc>
        <w:tc>
          <w:tcPr>
            <w:tcW w:w="887"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100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2300" w:type="dxa"/>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2"/>
                <w:sz w:val="15"/>
                <w:szCs w:val="15"/>
                <w:highlight w:val="none"/>
                <w:lang w:val="en-US" w:eastAsia="zh-CN" w:bidi="ar-SA"/>
              </w:rPr>
            </w:pPr>
            <w:r>
              <w:rPr>
                <w:rFonts w:hint="eastAsia" w:ascii="黑体" w:hAnsi="黑体" w:eastAsia="黑体" w:cs="黑体"/>
                <w:color w:val="auto"/>
                <w:kern w:val="0"/>
                <w:sz w:val="15"/>
                <w:szCs w:val="15"/>
                <w:highlight w:val="none"/>
                <w:lang w:eastAsia="zh-CN"/>
              </w:rPr>
              <w:t>法律</w:t>
            </w:r>
          </w:p>
        </w:tc>
        <w:tc>
          <w:tcPr>
            <w:tcW w:w="2218"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法规</w:t>
            </w:r>
          </w:p>
        </w:tc>
        <w:tc>
          <w:tcPr>
            <w:tcW w:w="2070"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国务院决定</w:t>
            </w:r>
          </w:p>
        </w:tc>
        <w:tc>
          <w:tcPr>
            <w:tcW w:w="2075"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规章等程序性规定</w:t>
            </w:r>
          </w:p>
        </w:tc>
        <w:tc>
          <w:tcPr>
            <w:tcW w:w="90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837"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83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718" w:type="dxa"/>
            <w:gridSpan w:val="10"/>
            <w:vAlign w:val="center"/>
          </w:tcPr>
          <w:p>
            <w:pPr>
              <w:widowControl/>
              <w:wordWrap/>
              <w:adjustRightInd/>
              <w:snapToGrid/>
              <w:spacing w:line="200" w:lineRule="exact"/>
              <w:jc w:val="both"/>
              <w:textAlignment w:val="center"/>
              <w:rPr>
                <w:rFonts w:hint="eastAsia" w:ascii="仿宋" w:hAnsi="仿宋" w:eastAsia="仿宋" w:cs="仿宋"/>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人力资源和社会保障领域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1</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学校资产证明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申请筹设、正式设立实施以职业技能为主的职业资格培训、职业技能培训的民办学校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《中华人民共和国民办教育促进法》（2018年12月29日第三次修正）第十二条、第十三条、第十五条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省、市、县人力资源社会保障部门，市、县行政审批部门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银行、会计师事务所、其他具有验资资格的机构</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default" w:asciiTheme="minorEastAsia" w:hAnsiTheme="minorEastAsia" w:eastAsiaTheme="minorEastAsia" w:cstheme="minorEastAsia"/>
                <w:i w:val="0"/>
                <w:color w:val="auto"/>
                <w:kern w:val="0"/>
                <w:sz w:val="15"/>
                <w:szCs w:val="15"/>
                <w:highlight w:val="none"/>
                <w:u w:val="none"/>
                <w:lang w:val="en" w:eastAsia="zh-CN"/>
              </w:rPr>
              <w:t>2</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供养直系亲属与死者关系证明</w:t>
            </w:r>
            <w:r>
              <w:rPr>
                <w:rFonts w:hint="eastAsia" w:asciiTheme="minorEastAsia" w:hAnsiTheme="minorEastAsia" w:eastAsiaTheme="minorEastAsia" w:cstheme="minorEastAsia"/>
                <w:b w:val="0"/>
                <w:bCs w:val="0"/>
                <w:i w:val="0"/>
                <w:strike w:val="0"/>
                <w:dstrike w:val="0"/>
                <w:color w:val="auto"/>
                <w:kern w:val="0"/>
                <w:sz w:val="15"/>
                <w:szCs w:val="15"/>
                <w:highlight w:val="none"/>
                <w:u w:val="none"/>
                <w:lang w:val="en-US" w:eastAsia="zh-CN"/>
              </w:rPr>
              <w:t>（通过告知承诺制、部门间数据共享核查）</w:t>
            </w: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 xml:space="preserve"> </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《中华人民共和国社会保险法》（2018年12月29日修正）第十七条、第十四条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0"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《人力资源社会保障部关于印发机关事业单位工作人员基本养老保险经办规程的通知》（人社部发〔2015〕32号）第四十条、第四十一条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公安派出所</w:t>
            </w:r>
          </w:p>
        </w:tc>
        <w:tc>
          <w:tcPr>
            <w:tcW w:w="830" w:type="dxa"/>
            <w:vAlign w:val="center"/>
          </w:tcPr>
          <w:p>
            <w:pPr>
              <w:widowControl/>
              <w:wordWrap/>
              <w:adjustRightInd/>
              <w:snapToGrid/>
              <w:spacing w:line="200" w:lineRule="exact"/>
              <w:jc w:val="center"/>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default" w:asciiTheme="minorEastAsia" w:hAnsiTheme="minorEastAsia" w:eastAsiaTheme="minorEastAsia" w:cstheme="minorEastAsia"/>
                <w:i w:val="0"/>
                <w:color w:val="auto"/>
                <w:kern w:val="0"/>
                <w:sz w:val="15"/>
                <w:szCs w:val="15"/>
                <w:highlight w:val="none"/>
                <w:u w:val="none"/>
                <w:lang w:val="en" w:eastAsia="zh-CN"/>
              </w:rPr>
              <w:t>3</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离退</w:t>
            </w:r>
            <w:r>
              <w:rPr>
                <w:rFonts w:hint="eastAsia" w:asciiTheme="minorEastAsia" w:hAnsiTheme="minorEastAsia" w:eastAsiaTheme="minorEastAsia" w:cstheme="minorEastAsia"/>
                <w:b w:val="0"/>
                <w:bCs w:val="0"/>
                <w:i w:val="0"/>
                <w:strike w:val="0"/>
                <w:dstrike w:val="0"/>
                <w:color w:val="auto"/>
                <w:kern w:val="0"/>
                <w:sz w:val="15"/>
                <w:szCs w:val="15"/>
                <w:highlight w:val="none"/>
                <w:u w:val="none"/>
                <w:lang w:val="en-US" w:eastAsia="zh-CN"/>
              </w:rPr>
              <w:t>休人员死亡证明（通过告知承诺制、部门间数据共享核查）</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《中华人民共和国社会保险法》（2018年12月29日修正）第十七条、第十四条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《中华人民共和国劳动保险条例》（1953年1月2日修正）第十四条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《国务院关于建立统一的城乡居民基本养老保险制度的意见》（国发〔2014〕8号）          </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    七、养老保险待遇领取条件：有条件的地方人民政府可以结合本地实际探索建立丧葬补助金制度。</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center"/>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default" w:asciiTheme="minorEastAsia" w:hAnsiTheme="minorEastAsia" w:eastAsiaTheme="minorEastAsia" w:cstheme="minorEastAsia"/>
                <w:i w:val="0"/>
                <w:color w:val="auto"/>
                <w:kern w:val="0"/>
                <w:sz w:val="15"/>
                <w:szCs w:val="15"/>
                <w:highlight w:val="none"/>
                <w:u w:val="none"/>
                <w:lang w:val="en" w:eastAsia="zh-CN"/>
              </w:rPr>
              <w:t>4</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死亡证明材料</w:t>
            </w:r>
            <w:r>
              <w:rPr>
                <w:rFonts w:hint="eastAsia" w:asciiTheme="minorEastAsia" w:hAnsiTheme="minorEastAsia" w:eastAsiaTheme="minorEastAsia" w:cstheme="minorEastAsia"/>
                <w:b w:val="0"/>
                <w:bCs w:val="0"/>
                <w:i w:val="0"/>
                <w:strike w:val="0"/>
                <w:dstrike w:val="0"/>
                <w:color w:val="auto"/>
                <w:kern w:val="0"/>
                <w:sz w:val="15"/>
                <w:szCs w:val="15"/>
                <w:highlight w:val="none"/>
                <w:u w:val="none"/>
                <w:lang w:val="en-US" w:eastAsia="zh-CN"/>
              </w:rPr>
              <w:t>（通过告知承诺制、部门间数据共享核查）</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办理基本养老保险个人账户一次性支付核定（养老保险服务）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《中华人民共和国社会保险法》（2018年12月29日修正）第十四条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《人力资源社会保障部关于印发机关事业单位工作人员基本养老保险经办规程的通知》（人社部发〔2015〕32号）第四十一条 </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《关于印发基本养老保险经办业务规程（试行）的通知》（劳社险中心函〔2003〕38号）第六十四条、第七十三条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center"/>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default" w:asciiTheme="minorEastAsia" w:hAnsiTheme="minorEastAsia" w:eastAsiaTheme="minorEastAsia" w:cstheme="minorEastAsia"/>
                <w:i w:val="0"/>
                <w:color w:val="auto"/>
                <w:kern w:val="0"/>
                <w:sz w:val="15"/>
                <w:szCs w:val="15"/>
                <w:highlight w:val="none"/>
                <w:u w:val="none"/>
                <w:lang w:val="en" w:eastAsia="zh-CN"/>
              </w:rPr>
              <w:t>5</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strike w:val="0"/>
                <w:dstrike w:val="0"/>
                <w:color w:val="auto"/>
                <w:kern w:val="0"/>
                <w:sz w:val="15"/>
                <w:szCs w:val="15"/>
                <w:highlight w:val="none"/>
                <w:u w:val="none"/>
                <w:lang w:val="en-US" w:eastAsia="zh-CN"/>
              </w:rPr>
              <w:t>能够确定指定受益人</w:t>
            </w:r>
            <w:r>
              <w:rPr>
                <w:rFonts w:hint="eastAsia" w:asciiTheme="minorEastAsia" w:hAnsiTheme="minorEastAsia" w:eastAsiaTheme="minorEastAsia" w:cstheme="minorEastAsia"/>
                <w:i w:val="0"/>
                <w:color w:val="auto"/>
                <w:kern w:val="0"/>
                <w:sz w:val="15"/>
                <w:szCs w:val="15"/>
                <w:highlight w:val="none"/>
                <w:u w:val="none"/>
                <w:lang w:val="en-US" w:eastAsia="zh-CN"/>
              </w:rPr>
              <w:t>、法定继承人继承权的公证文书</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城乡居民基本养老保险注销登记</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《国务院关于建立统一的城乡居民基本养老保险制度的意见》（国发〔2014〕8号）第七条</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《城乡居民基本养老保险经办规程》（人社部发〔2019〕84号）第三十七条、第三十八条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人力资源和社会保障部门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公证机构</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default" w:asciiTheme="minorEastAsia" w:hAnsiTheme="minorEastAsia" w:eastAsiaTheme="minorEastAsia" w:cstheme="minorEastAsia"/>
                <w:i w:val="0"/>
                <w:color w:val="auto"/>
                <w:kern w:val="0"/>
                <w:sz w:val="15"/>
                <w:szCs w:val="15"/>
                <w:highlight w:val="none"/>
                <w:u w:val="none"/>
                <w:lang w:val="en" w:eastAsia="zh-CN"/>
              </w:rPr>
              <w:t>6</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近亲属关系证明（结婚证、户口簿、出生证明等不能证明的）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申请工伤认定（申请人资格）</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《工伤保险条例》（国务院令第586号）第十七条</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省、市人力资源和社会保障部门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原户籍地公安派出所或基层群众自治组织</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7</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经济困难证明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申领遗属生活困难补助</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w:t>
            </w:r>
          </w:p>
        </w:tc>
        <w:tc>
          <w:tcPr>
            <w:tcW w:w="2218"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《中华人民共和国劳动保险条例实施细则修正草案》（1953年1月26日劳动部颁布）第四十五条、第四十六条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遗属供养亲属户籍所在地乡镇政府（街道办事处）</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8</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抢险救灾等维护国家利益、社会公共利益活动中受到伤害的证明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工伤认定申请</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《工伤保险条例》（国务院令第586号）第十五条</w:t>
            </w:r>
            <w:r>
              <w:rPr>
                <w:rFonts w:hint="eastAsia" w:asciiTheme="minorEastAsia" w:hAnsiTheme="minorEastAsia" w:eastAsiaTheme="minorEastAsia" w:cstheme="minorEastAsia"/>
                <w:i w:val="0"/>
                <w:color w:val="auto"/>
                <w:kern w:val="0"/>
                <w:sz w:val="15"/>
                <w:szCs w:val="15"/>
                <w:highlight w:val="none"/>
                <w:u w:val="none"/>
                <w:lang w:val="en-US" w:eastAsia="zh-CN"/>
              </w:rPr>
              <w:br w:type="textWrapping"/>
            </w:r>
            <w:r>
              <w:rPr>
                <w:rFonts w:hint="eastAsia" w:asciiTheme="minorEastAsia" w:hAnsiTheme="minorEastAsia" w:eastAsiaTheme="minorEastAsia" w:cstheme="minorEastAsia"/>
                <w:i w:val="0"/>
                <w:color w:val="auto"/>
                <w:kern w:val="0"/>
                <w:sz w:val="15"/>
                <w:szCs w:val="15"/>
                <w:highlight w:val="none"/>
                <w:u w:val="none"/>
                <w:lang w:val="en-US" w:eastAsia="zh-CN"/>
              </w:rPr>
              <w:t>《河北省奖励和保护见义勇为条例》（2015年1月1日起施行）第十二条</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省、市人力资源社会保障部门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见义勇为行为发生地公安机关、应急管理部门、乡镇人民政府、街道办事处、有关人民团体或者村（居）委会</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9</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与工亡职工关系的证明（结婚证、居民户口簿、《出生医学证明》等不能证明的）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《工伤保险条例》（国务院令第586号）第三十九条、第四十一条</w:t>
            </w:r>
          </w:p>
        </w:tc>
        <w:tc>
          <w:tcPr>
            <w:tcW w:w="2070"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《关于印发工伤保险经办规程的通知》（人社部发〔2012〕11号）第七十条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公安派出所</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10</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依靠工亡职工生前提供主要生活来源的证明（告知承诺制办理）</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《工伤保险条例》（国务院令第586号）第三十九条、第四十一条  </w:t>
            </w:r>
          </w:p>
        </w:tc>
        <w:tc>
          <w:tcPr>
            <w:tcW w:w="2070"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《关于印发工伤保险经办规程的通知》（人社部发〔2012〕11号）第七十条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户籍所在地公安派出所、街道办事处、乡镇政府</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11</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孤儿、孤寡老人、完全丧失劳动能力的证明（无法通过部门间数据共享进行核验的）</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《工伤保险条例》（国务院令第586号）第三十九条、第四十一条   </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《关于印发工伤保险经办规程的通知》（人社厅发〔2022〕24号）第七十三条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市、县民政部门、街道办事处、乡镇政府</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12</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失业保险丧葬补助金和抚恤金申领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《中华人民共和国社会保险法》（2018年12月29日修正）第四十九条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《失业保险条例》（中华人民共和国国务院令第258号）第十条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《失业保险金申领发放办法》（劳动和社会保障部令第8号，2019年12月9日第二次修订）第十条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医疗机构、公安部门、村（居）委会</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13</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申领一次性工亡补助金（含生活困难，预支50%确认）、丧葬补助金申领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《工伤保险条例》（中华人民共和国国务院令第586号）第三十九条、第四十一条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《关于印发工伤保险经办规程的通知》（人社厅发〔2022〕24号）第七十二条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1</w:t>
            </w:r>
            <w:r>
              <w:rPr>
                <w:rFonts w:hint="default" w:asciiTheme="minorEastAsia" w:hAnsiTheme="minorEastAsia" w:eastAsiaTheme="minorEastAsia" w:cstheme="minorEastAsia"/>
                <w:i w:val="0"/>
                <w:color w:val="auto"/>
                <w:kern w:val="0"/>
                <w:sz w:val="15"/>
                <w:szCs w:val="15"/>
                <w:highlight w:val="none"/>
                <w:u w:val="none"/>
                <w:lang w:val="en" w:eastAsia="zh-CN"/>
              </w:rPr>
              <w:t>4</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不低于中外合作办学者资金投入15%的启动资金到位证明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申请筹备设立中外合作办学机构</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《中华人民共和国中外合作办学条例》（国务院令第372号，2019年3月2日修订）第十四条</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省人力资源社会保障厅（委托市级实施）</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银行、会计师事务所、其他具有验资资格的机构</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color w:val="auto"/>
                <w:kern w:val="0"/>
                <w:sz w:val="15"/>
                <w:szCs w:val="15"/>
                <w:highlight w:val="none"/>
                <w:u w:val="none"/>
                <w:lang w:val="en" w:eastAsia="zh-CN"/>
              </w:rPr>
            </w:pPr>
            <w:r>
              <w:rPr>
                <w:rFonts w:hint="default" w:asciiTheme="minorEastAsia" w:hAnsiTheme="minorEastAsia" w:eastAsiaTheme="minorEastAsia" w:cstheme="minorEastAsia"/>
                <w:color w:val="auto"/>
                <w:kern w:val="0"/>
                <w:sz w:val="15"/>
                <w:szCs w:val="15"/>
                <w:highlight w:val="none"/>
                <w:u w:val="none"/>
                <w:lang w:val="en" w:eastAsia="zh-CN"/>
              </w:rPr>
              <w:t>15</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终止或者解除劳动关系的证明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失业登记</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《中华人民共和国社会保险法》（2018年12月29日修正）第五十条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eastAsia="zh-CN"/>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u w:val="none"/>
                <w:lang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u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原用人单位</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以告知承诺方式办理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color w:val="auto"/>
                <w:kern w:val="0"/>
                <w:sz w:val="15"/>
                <w:szCs w:val="15"/>
                <w:highlight w:val="none"/>
                <w:lang w:val="en" w:eastAsia="zh-CN"/>
              </w:rPr>
            </w:pPr>
            <w:r>
              <w:rPr>
                <w:rFonts w:hint="default" w:asciiTheme="minorEastAsia" w:hAnsiTheme="minorEastAsia" w:eastAsiaTheme="minorEastAsia" w:cstheme="minorEastAsia"/>
                <w:color w:val="auto"/>
                <w:kern w:val="0"/>
                <w:sz w:val="15"/>
                <w:szCs w:val="15"/>
                <w:highlight w:val="none"/>
                <w:lang w:val="en" w:eastAsia="zh-CN"/>
              </w:rPr>
              <w:t>16</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申请工伤认定</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《中华人民共和国社会保险法》（2018年12月29日修正）第三十六条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《工伤保险条例》（国务院令第586号）第十五条</w:t>
            </w: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eastAsia="zh-CN"/>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eastAsia="zh-CN"/>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singl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法院、公安机关、医疗机构、村（居）委会</w:t>
            </w:r>
          </w:p>
        </w:tc>
        <w:tc>
          <w:tcPr>
            <w:tcW w:w="830" w:type="dxa"/>
            <w:vAlign w:val="center"/>
          </w:tcPr>
          <w:p>
            <w:pPr>
              <w:widowControl/>
              <w:wordWrap/>
              <w:adjustRightInd/>
              <w:snapToGrid/>
              <w:spacing w:line="200" w:lineRule="exact"/>
              <w:jc w:val="center"/>
              <w:textAlignment w:val="center"/>
              <w:rPr>
                <w:rFonts w:hint="eastAsia" w:asciiTheme="minorEastAsia" w:hAnsiTheme="minorEastAsia" w:eastAsiaTheme="minorEastAsia" w:cstheme="minorEastAsia"/>
                <w:i w:val="0"/>
                <w:color w:val="auto"/>
                <w:kern w:val="0"/>
                <w:sz w:val="15"/>
                <w:szCs w:val="15"/>
                <w:highlight w:val="none"/>
                <w:u w:val="single"/>
                <w:lang w:val="en-US" w:eastAsia="zh-CN"/>
              </w:rPr>
            </w:pPr>
          </w:p>
        </w:tc>
      </w:tr>
    </w:tbl>
    <w:p>
      <w:pPr>
        <w:pStyle w:val="3"/>
        <w:widowControl w:val="0"/>
        <w:wordWrap/>
        <w:adjustRightInd/>
        <w:snapToGrid/>
        <w:spacing w:line="520" w:lineRule="exact"/>
        <w:jc w:val="left"/>
        <w:textAlignment w:val="auto"/>
        <w:rPr>
          <w:rFonts w:hint="eastAsia" w:ascii="黑体" w:hAnsi="黑体" w:eastAsia="黑体" w:cs="黑体"/>
          <w:color w:val="auto"/>
          <w:sz w:val="32"/>
          <w:szCs w:val="32"/>
          <w:highlight w:val="none"/>
          <w:lang w:eastAsia="zh-CN"/>
        </w:rPr>
      </w:pPr>
    </w:p>
    <w:p>
      <w:pPr>
        <w:pStyle w:val="3"/>
        <w:widowControl w:val="0"/>
        <w:wordWrap/>
        <w:adjustRightInd/>
        <w:snapToGrid/>
        <w:spacing w:line="520" w:lineRule="exact"/>
        <w:jc w:val="left"/>
        <w:textAlignment w:val="auto"/>
        <w:rPr>
          <w:rFonts w:hint="eastAsia" w:ascii="黑体" w:hAnsi="黑体" w:eastAsia="黑体" w:cs="黑体"/>
          <w:color w:val="auto"/>
          <w:sz w:val="32"/>
          <w:szCs w:val="32"/>
          <w:highlight w:val="none"/>
          <w:lang w:eastAsia="zh-CN"/>
        </w:rPr>
      </w:pPr>
    </w:p>
    <w:p>
      <w:pPr>
        <w:pStyle w:val="3"/>
        <w:widowControl w:val="0"/>
        <w:wordWrap/>
        <w:adjustRightInd/>
        <w:snapToGrid/>
        <w:spacing w:line="520" w:lineRule="exact"/>
        <w:jc w:val="left"/>
        <w:textAlignment w:val="auto"/>
        <w:rPr>
          <w:rFonts w:hint="eastAsia" w:ascii="黑体" w:hAnsi="黑体" w:eastAsia="黑体" w:cs="黑体"/>
          <w:color w:val="auto"/>
          <w:sz w:val="32"/>
          <w:szCs w:val="32"/>
          <w:highlight w:val="none"/>
          <w:lang w:eastAsia="zh-CN"/>
        </w:rPr>
      </w:pPr>
    </w:p>
    <w:p>
      <w:pPr>
        <w:pStyle w:val="3"/>
        <w:widowControl w:val="0"/>
        <w:wordWrap/>
        <w:adjustRightInd/>
        <w:snapToGrid/>
        <w:spacing w:line="520" w:lineRule="exact"/>
        <w:jc w:val="left"/>
        <w:textAlignment w:val="auto"/>
        <w:rPr>
          <w:rFonts w:hint="eastAsia" w:ascii="黑体" w:hAnsi="黑体" w:eastAsia="黑体" w:cs="黑体"/>
          <w:color w:val="auto"/>
          <w:sz w:val="32"/>
          <w:szCs w:val="32"/>
          <w:highlight w:val="none"/>
          <w:lang w:eastAsia="zh-CN"/>
        </w:rPr>
      </w:pPr>
    </w:p>
    <w:p>
      <w:pPr>
        <w:rPr>
          <w:rFonts w:hint="eastAsia" w:ascii="黑体" w:hAnsi="黑体" w:eastAsia="黑体" w:cs="黑体"/>
          <w:color w:val="auto"/>
          <w:sz w:val="32"/>
          <w:szCs w:val="32"/>
          <w:highlight w:val="none"/>
          <w:lang w:eastAsia="zh-CN"/>
        </w:rPr>
      </w:pPr>
    </w:p>
    <w:p>
      <w:pPr>
        <w:pStyle w:val="2"/>
        <w:rPr>
          <w:rFonts w:hint="eastAsia" w:ascii="黑体" w:hAnsi="黑体" w:eastAsia="黑体" w:cs="黑体"/>
          <w:color w:val="auto"/>
          <w:sz w:val="32"/>
          <w:szCs w:val="32"/>
          <w:highlight w:val="none"/>
          <w:lang w:eastAsia="zh-CN"/>
        </w:rPr>
      </w:pPr>
    </w:p>
    <w:p>
      <w:pPr>
        <w:pStyle w:val="3"/>
        <w:rPr>
          <w:rFonts w:ascii="方正小标宋简体" w:hAnsi="方正小标宋简体" w:eastAsia="方正小标宋简体" w:cs="方正小标宋简体"/>
          <w:color w:val="auto"/>
          <w:sz w:val="44"/>
          <w:szCs w:val="44"/>
        </w:rPr>
      </w:pPr>
      <w:bookmarkStart w:id="0" w:name="_GoBack"/>
      <w:bookmarkEnd w:id="0"/>
    </w:p>
    <w:sectPr>
      <w:headerReference r:id="rId3" w:type="default"/>
      <w:footerReference r:id="rId4" w:type="default"/>
      <w:pgSz w:w="16838" w:h="11906" w:orient="landscape"/>
      <w:pgMar w:top="1588" w:right="1928" w:bottom="1474" w:left="1814" w:header="851" w:footer="1531" w:gutter="0"/>
      <w:cols w:space="425" w:num="1"/>
      <w:docGrid w:type="linesAndChars" w:linePitch="59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仿宋简体">
    <w:altName w:val="方正仿宋_GBK"/>
    <w:panose1 w:val="02010601030101010101"/>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20" w:leftChars="100" w:right="320" w:rightChars="100"/>
      <w:rPr>
        <w:rStyle w:val="9"/>
        <w:rFonts w:ascii="宋体"/>
        <w:b/>
        <w:bCs/>
        <w:sz w:val="28"/>
      </w:rPr>
    </w:pPr>
    <w:r>
      <w:rPr>
        <w:rStyle w:val="9"/>
        <w:sz w:val="28"/>
      </w:rPr>
      <w:t xml:space="preserve">— </w:t>
    </w:r>
    <w:r>
      <w:rPr>
        <w:rStyle w:val="9"/>
        <w:rFonts w:ascii="宋体" w:eastAsia="宋体" w:cs="宋体"/>
        <w:sz w:val="28"/>
      </w:rPr>
      <w:fldChar w:fldCharType="begin"/>
    </w:r>
    <w:r>
      <w:rPr>
        <w:rStyle w:val="9"/>
        <w:rFonts w:ascii="宋体" w:eastAsia="宋体" w:cs="宋体"/>
        <w:sz w:val="28"/>
      </w:rPr>
      <w:instrText xml:space="preserve">PAGE  </w:instrText>
    </w:r>
    <w:r>
      <w:rPr>
        <w:rStyle w:val="9"/>
        <w:rFonts w:ascii="宋体" w:eastAsia="宋体" w:cs="宋体"/>
        <w:sz w:val="28"/>
      </w:rPr>
      <w:fldChar w:fldCharType="separate"/>
    </w:r>
    <w:r>
      <w:rPr>
        <w:rStyle w:val="9"/>
        <w:rFonts w:ascii="宋体" w:eastAsia="宋体" w:cs="宋体"/>
        <w:sz w:val="28"/>
      </w:rPr>
      <w:t>3</w:t>
    </w:r>
    <w:r>
      <w:rPr>
        <w:rStyle w:val="9"/>
        <w:rFonts w:ascii="宋体" w:eastAsia="宋体" w:cs="宋体"/>
        <w:sz w:val="28"/>
      </w:rPr>
      <w:fldChar w:fldCharType="end"/>
    </w:r>
    <w:r>
      <w:rPr>
        <w:rStyle w:val="9"/>
        <w:sz w:val="28"/>
      </w:rPr>
      <w:t xml:space="preserve"> —</w:t>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true"/>
  <w:bordersDoNotSurroundHeader w:val="false"/>
  <w:bordersDoNotSurroundFooter w:val="false"/>
  <w:attachedTemplate r:id="rId1"/>
  <w:documentProtection w:enforcement="0"/>
  <w:defaultTabStop w:val="420"/>
  <w:drawingGridHorizontalSpacing w:val="158"/>
  <w:drawingGridVerticalSpacing w:val="595"/>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6C591B"/>
    <w:rsid w:val="000169A0"/>
    <w:rsid w:val="00023F77"/>
    <w:rsid w:val="00024431"/>
    <w:rsid w:val="00057B07"/>
    <w:rsid w:val="00074D3B"/>
    <w:rsid w:val="000811F5"/>
    <w:rsid w:val="00095A31"/>
    <w:rsid w:val="000B4430"/>
    <w:rsid w:val="000C4D3D"/>
    <w:rsid w:val="000E5B6E"/>
    <w:rsid w:val="00103867"/>
    <w:rsid w:val="00106E10"/>
    <w:rsid w:val="00106FB6"/>
    <w:rsid w:val="00114A7F"/>
    <w:rsid w:val="001379FE"/>
    <w:rsid w:val="00142BA2"/>
    <w:rsid w:val="00153D1A"/>
    <w:rsid w:val="001772F3"/>
    <w:rsid w:val="0019493D"/>
    <w:rsid w:val="001C08C6"/>
    <w:rsid w:val="001C0AF5"/>
    <w:rsid w:val="001E289F"/>
    <w:rsid w:val="001E313A"/>
    <w:rsid w:val="0020568D"/>
    <w:rsid w:val="00213774"/>
    <w:rsid w:val="0022257C"/>
    <w:rsid w:val="002532EB"/>
    <w:rsid w:val="00283178"/>
    <w:rsid w:val="00291721"/>
    <w:rsid w:val="002C4A49"/>
    <w:rsid w:val="002E4AE5"/>
    <w:rsid w:val="00307089"/>
    <w:rsid w:val="00345B67"/>
    <w:rsid w:val="0036046B"/>
    <w:rsid w:val="003A2189"/>
    <w:rsid w:val="003A28B2"/>
    <w:rsid w:val="003C08E9"/>
    <w:rsid w:val="003C485B"/>
    <w:rsid w:val="003D6247"/>
    <w:rsid w:val="003D6445"/>
    <w:rsid w:val="003E5E3B"/>
    <w:rsid w:val="003F76C4"/>
    <w:rsid w:val="00403BC0"/>
    <w:rsid w:val="00411B8B"/>
    <w:rsid w:val="00413902"/>
    <w:rsid w:val="004301FD"/>
    <w:rsid w:val="00476A55"/>
    <w:rsid w:val="00477B88"/>
    <w:rsid w:val="00481B9B"/>
    <w:rsid w:val="004A0018"/>
    <w:rsid w:val="004B06A1"/>
    <w:rsid w:val="004B7B88"/>
    <w:rsid w:val="004C16E6"/>
    <w:rsid w:val="004C2140"/>
    <w:rsid w:val="004C2436"/>
    <w:rsid w:val="004D0BAD"/>
    <w:rsid w:val="004F5424"/>
    <w:rsid w:val="005051DF"/>
    <w:rsid w:val="0054409C"/>
    <w:rsid w:val="005B0EF3"/>
    <w:rsid w:val="005F53B2"/>
    <w:rsid w:val="005F7731"/>
    <w:rsid w:val="00612DC1"/>
    <w:rsid w:val="0067018E"/>
    <w:rsid w:val="006938DB"/>
    <w:rsid w:val="006956FD"/>
    <w:rsid w:val="006A1FE8"/>
    <w:rsid w:val="006B51AB"/>
    <w:rsid w:val="006B5535"/>
    <w:rsid w:val="006E325F"/>
    <w:rsid w:val="00720828"/>
    <w:rsid w:val="00746606"/>
    <w:rsid w:val="0075437B"/>
    <w:rsid w:val="007635BF"/>
    <w:rsid w:val="00765034"/>
    <w:rsid w:val="00796F6A"/>
    <w:rsid w:val="007A0FEC"/>
    <w:rsid w:val="007E1492"/>
    <w:rsid w:val="007F7647"/>
    <w:rsid w:val="00845F5A"/>
    <w:rsid w:val="00865168"/>
    <w:rsid w:val="008676E9"/>
    <w:rsid w:val="00871548"/>
    <w:rsid w:val="008D17CA"/>
    <w:rsid w:val="008E5A99"/>
    <w:rsid w:val="008F0552"/>
    <w:rsid w:val="008F0D49"/>
    <w:rsid w:val="008F5124"/>
    <w:rsid w:val="00946383"/>
    <w:rsid w:val="0094799A"/>
    <w:rsid w:val="00984CEB"/>
    <w:rsid w:val="00997A51"/>
    <w:rsid w:val="009E07ED"/>
    <w:rsid w:val="00A3468F"/>
    <w:rsid w:val="00A51890"/>
    <w:rsid w:val="00A53183"/>
    <w:rsid w:val="00A55D19"/>
    <w:rsid w:val="00A842BD"/>
    <w:rsid w:val="00A90335"/>
    <w:rsid w:val="00AA3962"/>
    <w:rsid w:val="00AB3D14"/>
    <w:rsid w:val="00AE5332"/>
    <w:rsid w:val="00AF4FF6"/>
    <w:rsid w:val="00B32032"/>
    <w:rsid w:val="00B81943"/>
    <w:rsid w:val="00B861FD"/>
    <w:rsid w:val="00BB2ABC"/>
    <w:rsid w:val="00C12F1A"/>
    <w:rsid w:val="00C132BC"/>
    <w:rsid w:val="00C15BD8"/>
    <w:rsid w:val="00C7192A"/>
    <w:rsid w:val="00C80F63"/>
    <w:rsid w:val="00C973ED"/>
    <w:rsid w:val="00CD1DEB"/>
    <w:rsid w:val="00CE60EE"/>
    <w:rsid w:val="00CF74ED"/>
    <w:rsid w:val="00D16CB7"/>
    <w:rsid w:val="00D24E37"/>
    <w:rsid w:val="00D33985"/>
    <w:rsid w:val="00D3434A"/>
    <w:rsid w:val="00D64F6B"/>
    <w:rsid w:val="00D73151"/>
    <w:rsid w:val="00DB26A4"/>
    <w:rsid w:val="00DC5E34"/>
    <w:rsid w:val="00DE3E36"/>
    <w:rsid w:val="00E23C05"/>
    <w:rsid w:val="00E24B91"/>
    <w:rsid w:val="00E311CF"/>
    <w:rsid w:val="00E4313B"/>
    <w:rsid w:val="00E529DC"/>
    <w:rsid w:val="00E569A4"/>
    <w:rsid w:val="00EB0534"/>
    <w:rsid w:val="00EB20B2"/>
    <w:rsid w:val="00EB43B8"/>
    <w:rsid w:val="00F365D5"/>
    <w:rsid w:val="00F4346F"/>
    <w:rsid w:val="00F66F37"/>
    <w:rsid w:val="00F81B5D"/>
    <w:rsid w:val="00FA720E"/>
    <w:rsid w:val="00FB0B32"/>
    <w:rsid w:val="00FE6B72"/>
    <w:rsid w:val="00FF0236"/>
    <w:rsid w:val="00FF2607"/>
    <w:rsid w:val="04EF5C88"/>
    <w:rsid w:val="05E9105E"/>
    <w:rsid w:val="080C64B4"/>
    <w:rsid w:val="08203297"/>
    <w:rsid w:val="0BF32CB5"/>
    <w:rsid w:val="0F6B5369"/>
    <w:rsid w:val="117E0DBA"/>
    <w:rsid w:val="165962C7"/>
    <w:rsid w:val="175D2949"/>
    <w:rsid w:val="1C2746DE"/>
    <w:rsid w:val="1CB26237"/>
    <w:rsid w:val="1D744AD6"/>
    <w:rsid w:val="1FBAF0F3"/>
    <w:rsid w:val="1FD70A0E"/>
    <w:rsid w:val="21C6015F"/>
    <w:rsid w:val="270E567A"/>
    <w:rsid w:val="27AE11A2"/>
    <w:rsid w:val="29574639"/>
    <w:rsid w:val="2D8016E0"/>
    <w:rsid w:val="2DA04A51"/>
    <w:rsid w:val="2E27F0FB"/>
    <w:rsid w:val="2EBF1EB8"/>
    <w:rsid w:val="2F4074EF"/>
    <w:rsid w:val="34B41C7B"/>
    <w:rsid w:val="34D45CCC"/>
    <w:rsid w:val="36F51D5B"/>
    <w:rsid w:val="3701572F"/>
    <w:rsid w:val="37FD8C9A"/>
    <w:rsid w:val="38EE192A"/>
    <w:rsid w:val="392C0055"/>
    <w:rsid w:val="398E0AC6"/>
    <w:rsid w:val="3C540242"/>
    <w:rsid w:val="3DE96B72"/>
    <w:rsid w:val="3DEFC302"/>
    <w:rsid w:val="3F77230C"/>
    <w:rsid w:val="3FE7571F"/>
    <w:rsid w:val="3FEAB222"/>
    <w:rsid w:val="3FFFD97B"/>
    <w:rsid w:val="410A4337"/>
    <w:rsid w:val="412D656B"/>
    <w:rsid w:val="414E1CF3"/>
    <w:rsid w:val="425A5C23"/>
    <w:rsid w:val="478C0393"/>
    <w:rsid w:val="48AC20FC"/>
    <w:rsid w:val="4A567B06"/>
    <w:rsid w:val="4FBE9885"/>
    <w:rsid w:val="56AF85C2"/>
    <w:rsid w:val="576C591B"/>
    <w:rsid w:val="57FF0269"/>
    <w:rsid w:val="584DFD0B"/>
    <w:rsid w:val="594516D5"/>
    <w:rsid w:val="5A659B09"/>
    <w:rsid w:val="5BD85BE8"/>
    <w:rsid w:val="5C766050"/>
    <w:rsid w:val="5D7BC18C"/>
    <w:rsid w:val="5DCFAD54"/>
    <w:rsid w:val="5E236A19"/>
    <w:rsid w:val="5F4909C6"/>
    <w:rsid w:val="5FABEC09"/>
    <w:rsid w:val="5FAE07E5"/>
    <w:rsid w:val="5FE36803"/>
    <w:rsid w:val="62F565E3"/>
    <w:rsid w:val="63A018E5"/>
    <w:rsid w:val="64FE3E06"/>
    <w:rsid w:val="654562D5"/>
    <w:rsid w:val="66EF252E"/>
    <w:rsid w:val="69DE6F9C"/>
    <w:rsid w:val="6A446721"/>
    <w:rsid w:val="6BCBEE29"/>
    <w:rsid w:val="6BF173B3"/>
    <w:rsid w:val="6BFCBC5B"/>
    <w:rsid w:val="6C09790C"/>
    <w:rsid w:val="6D0700AD"/>
    <w:rsid w:val="6D5545A7"/>
    <w:rsid w:val="6D7F49A5"/>
    <w:rsid w:val="6DDB2BB3"/>
    <w:rsid w:val="6DE7DB77"/>
    <w:rsid w:val="6E2FDF6D"/>
    <w:rsid w:val="6EB41528"/>
    <w:rsid w:val="6EBF5A24"/>
    <w:rsid w:val="6F134E87"/>
    <w:rsid w:val="6F7D61D9"/>
    <w:rsid w:val="6FEFF9F1"/>
    <w:rsid w:val="6FF3C02F"/>
    <w:rsid w:val="6FFFCAAD"/>
    <w:rsid w:val="71A85B13"/>
    <w:rsid w:val="73C75B2E"/>
    <w:rsid w:val="73FDBAE2"/>
    <w:rsid w:val="74814BDA"/>
    <w:rsid w:val="74E75D80"/>
    <w:rsid w:val="757DB8FF"/>
    <w:rsid w:val="758FCF07"/>
    <w:rsid w:val="764E5A97"/>
    <w:rsid w:val="76D907BC"/>
    <w:rsid w:val="76E71956"/>
    <w:rsid w:val="770D676E"/>
    <w:rsid w:val="77B7398D"/>
    <w:rsid w:val="7875C6FB"/>
    <w:rsid w:val="78AA128E"/>
    <w:rsid w:val="79235AA9"/>
    <w:rsid w:val="7A3E26E1"/>
    <w:rsid w:val="7A7C1D55"/>
    <w:rsid w:val="7AD7EA75"/>
    <w:rsid w:val="7BB60704"/>
    <w:rsid w:val="7BDB6D63"/>
    <w:rsid w:val="7BEE9CFA"/>
    <w:rsid w:val="7C7D3EED"/>
    <w:rsid w:val="7DBB8F30"/>
    <w:rsid w:val="7DD9AAB0"/>
    <w:rsid w:val="7E8FD17D"/>
    <w:rsid w:val="7F3E8F6E"/>
    <w:rsid w:val="7F5A3A7C"/>
    <w:rsid w:val="7FB491A8"/>
    <w:rsid w:val="7FB7D295"/>
    <w:rsid w:val="7FBD580A"/>
    <w:rsid w:val="7FC401DD"/>
    <w:rsid w:val="7FD771F6"/>
    <w:rsid w:val="7FFFFBB0"/>
    <w:rsid w:val="9BED58A9"/>
    <w:rsid w:val="9EFD3CF1"/>
    <w:rsid w:val="9FD3141F"/>
    <w:rsid w:val="9FFF1EF5"/>
    <w:rsid w:val="A5B79B43"/>
    <w:rsid w:val="B7ED36FC"/>
    <w:rsid w:val="BB778744"/>
    <w:rsid w:val="BCFF9263"/>
    <w:rsid w:val="BE372B9B"/>
    <w:rsid w:val="BFF1969B"/>
    <w:rsid w:val="BFFB0FC3"/>
    <w:rsid w:val="CADF905F"/>
    <w:rsid w:val="CBFD9CEB"/>
    <w:rsid w:val="D30748F1"/>
    <w:rsid w:val="D67FA3ED"/>
    <w:rsid w:val="D7CFCBC8"/>
    <w:rsid w:val="DA77655F"/>
    <w:rsid w:val="DF8FE4CF"/>
    <w:rsid w:val="DFEC88C9"/>
    <w:rsid w:val="E2CF41AD"/>
    <w:rsid w:val="E7DEC34E"/>
    <w:rsid w:val="EA8F1BC2"/>
    <w:rsid w:val="EBEF8CD7"/>
    <w:rsid w:val="ED75484D"/>
    <w:rsid w:val="EE5F5B94"/>
    <w:rsid w:val="EFED93F2"/>
    <w:rsid w:val="EFF3F3EF"/>
    <w:rsid w:val="F1FE446E"/>
    <w:rsid w:val="F35F95F5"/>
    <w:rsid w:val="F3DD3FC9"/>
    <w:rsid w:val="F4AED7B1"/>
    <w:rsid w:val="F7F56976"/>
    <w:rsid w:val="F8FA0C55"/>
    <w:rsid w:val="FA261147"/>
    <w:rsid w:val="FB0FEE6A"/>
    <w:rsid w:val="FB6D9E2C"/>
    <w:rsid w:val="FBBBBE29"/>
    <w:rsid w:val="FBBD4EE4"/>
    <w:rsid w:val="FBD9F89B"/>
    <w:rsid w:val="FBE6376F"/>
    <w:rsid w:val="FDBE9F3F"/>
    <w:rsid w:val="FDEF8DCE"/>
    <w:rsid w:val="FEDFF422"/>
    <w:rsid w:val="FEFBDE4A"/>
    <w:rsid w:val="FEFD4E27"/>
    <w:rsid w:val="FF2F4369"/>
    <w:rsid w:val="FF63402C"/>
    <w:rsid w:val="FF7F1A10"/>
    <w:rsid w:val="FFBD5DC9"/>
    <w:rsid w:val="FFEF342F"/>
    <w:rsid w:val="FFEF4D59"/>
    <w:rsid w:val="FFFF1468"/>
    <w:rsid w:val="FFFF7CC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宋体" w:eastAsia="仿宋" w:cs="Times New Roman"/>
      <w:kern w:val="2"/>
      <w:sz w:val="32"/>
      <w:szCs w:val="22"/>
      <w:lang w:val="en-US" w:eastAsia="zh-CN" w:bidi="ar-SA"/>
    </w:rPr>
  </w:style>
  <w:style w:type="character" w:default="1" w:styleId="8">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szCs w:val="21"/>
    </w:rPr>
  </w:style>
  <w:style w:type="paragraph" w:styleId="3">
    <w:name w:val="Body Text"/>
    <w:basedOn w:val="1"/>
    <w:next w:val="1"/>
    <w:link w:val="11"/>
    <w:qFormat/>
    <w:uiPriority w:val="99"/>
    <w:pPr>
      <w:spacing w:line="240" w:lineRule="atLeast"/>
    </w:pPr>
    <w:rPr>
      <w:rFonts w:eastAsia="小标宋"/>
      <w:sz w:val="44"/>
      <w:szCs w:val="32"/>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pPr>
      <w:widowControl w:val="0"/>
      <w:jc w:val="both"/>
    </w:pPr>
    <w:rPr>
      <w:rFonts w:ascii="Times New Roman" w:hAnsi="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styleId="10">
    <w:name w:val="Hyperlink"/>
    <w:basedOn w:val="8"/>
    <w:semiHidden/>
    <w:unhideWhenUsed/>
    <w:qFormat/>
    <w:uiPriority w:val="99"/>
    <w:rPr>
      <w:color w:val="0000FF"/>
      <w:u w:val="single"/>
    </w:rPr>
  </w:style>
  <w:style w:type="character" w:customStyle="1" w:styleId="11">
    <w:name w:val="Body Text Char"/>
    <w:basedOn w:val="8"/>
    <w:link w:val="3"/>
    <w:qFormat/>
    <w:locked/>
    <w:uiPriority w:val="99"/>
    <w:rPr>
      <w:rFonts w:ascii="宋体" w:hAnsi="宋体" w:eastAsia="小标宋" w:cs="Times New Roman"/>
      <w:sz w:val="32"/>
      <w:szCs w:val="32"/>
    </w:rPr>
  </w:style>
  <w:style w:type="character" w:customStyle="1" w:styleId="12">
    <w:name w:val="Footer Char"/>
    <w:basedOn w:val="8"/>
    <w:link w:val="4"/>
    <w:qFormat/>
    <w:locked/>
    <w:uiPriority w:val="99"/>
    <w:rPr>
      <w:rFonts w:ascii="宋体" w:hAnsi="宋体" w:eastAsia="方正仿宋简体" w:cs="Times New Roman"/>
      <w:sz w:val="18"/>
      <w:szCs w:val="18"/>
    </w:rPr>
  </w:style>
  <w:style w:type="character" w:customStyle="1" w:styleId="13">
    <w:name w:val="Header Char"/>
    <w:basedOn w:val="8"/>
    <w:link w:val="5"/>
    <w:semiHidden/>
    <w:qFormat/>
    <w:locked/>
    <w:uiPriority w:val="99"/>
    <w:rPr>
      <w:rFonts w:ascii="宋体" w:hAnsi="宋体" w:eastAsia="方正仿宋简体" w:cs="Times New Roman"/>
      <w:sz w:val="18"/>
      <w:szCs w:val="18"/>
    </w:rPr>
  </w:style>
  <w:style w:type="character" w:customStyle="1" w:styleId="14">
    <w:name w:val="wenzhang1"/>
    <w:basedOn w:val="8"/>
    <w:qFormat/>
    <w:uiPriority w:val="99"/>
    <w:rPr>
      <w:rFonts w:ascii="宋体" w:hAnsi="宋体" w:eastAsia="宋体" w:cs="宋体"/>
      <w:color w:val="000000"/>
      <w:sz w:val="21"/>
      <w:szCs w:val="21"/>
    </w:rPr>
  </w:style>
  <w:style w:type="character" w:customStyle="1" w:styleId="15">
    <w:name w:val="font41"/>
    <w:basedOn w:val="8"/>
    <w:qFormat/>
    <w:uiPriority w:val="0"/>
    <w:rPr>
      <w:rFonts w:hint="eastAsia" w:ascii="宋体" w:hAnsi="宋体" w:eastAsia="宋体" w:cs="宋体"/>
      <w:color w:val="000000"/>
      <w:sz w:val="20"/>
      <w:szCs w:val="20"/>
      <w:u w:val="none"/>
    </w:rPr>
  </w:style>
  <w:style w:type="character" w:customStyle="1" w:styleId="16">
    <w:name w:val="font31"/>
    <w:basedOn w:val="8"/>
    <w:qFormat/>
    <w:uiPriority w:val="0"/>
    <w:rPr>
      <w:rFonts w:hint="eastAsia" w:ascii="宋体" w:hAnsi="宋体" w:eastAsia="宋体" w:cs="宋体"/>
      <w:color w:val="000000"/>
      <w:sz w:val="20"/>
      <w:szCs w:val="20"/>
      <w:u w:val="none"/>
    </w:rPr>
  </w:style>
  <w:style w:type="character" w:customStyle="1" w:styleId="17">
    <w:name w:val="font12"/>
    <w:basedOn w:val="8"/>
    <w:qFormat/>
    <w:uiPriority w:val="0"/>
    <w:rPr>
      <w:rFonts w:hint="eastAsia" w:ascii="宋体" w:hAnsi="宋体" w:eastAsia="宋体" w:cs="宋体"/>
      <w:color w:val="FF0000"/>
      <w:sz w:val="20"/>
      <w:szCs w:val="20"/>
      <w:u w:val="none"/>
    </w:rPr>
  </w:style>
  <w:style w:type="character" w:customStyle="1" w:styleId="18">
    <w:name w:val="font21"/>
    <w:basedOn w:val="8"/>
    <w:qFormat/>
    <w:uiPriority w:val="0"/>
    <w:rPr>
      <w:rFonts w:hint="eastAsia" w:ascii="宋体" w:hAnsi="宋体" w:eastAsia="宋体" w:cs="宋体"/>
      <w:color w:val="000000"/>
      <w:sz w:val="20"/>
      <w:szCs w:val="20"/>
      <w:u w:val="none"/>
    </w:rPr>
  </w:style>
  <w:style w:type="character" w:customStyle="1" w:styleId="19">
    <w:name w:val="font71"/>
    <w:basedOn w:val="8"/>
    <w:qFormat/>
    <w:uiPriority w:val="0"/>
    <w:rPr>
      <w:rFonts w:hint="eastAsia" w:ascii="宋体" w:hAnsi="宋体" w:eastAsia="宋体" w:cs="宋体"/>
      <w:color w:val="000000"/>
      <w:sz w:val="18"/>
      <w:szCs w:val="18"/>
      <w:u w:val="none"/>
    </w:rPr>
  </w:style>
  <w:style w:type="character" w:customStyle="1" w:styleId="20">
    <w:name w:val="font1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Users\Dell\AppData\Roaming\gwb\h111.gw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h111.gwb</Template>
  <Pages>10</Pages>
  <Words>809</Words>
  <Characters>4613</Characters>
  <Lines>0</Lines>
  <Paragraphs>0</Paragraphs>
  <TotalTime>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2019-08-23T17:03:00Z</dcterms:created>
  <dc:creator>刘浩然</dc:creator>
  <cp:lastModifiedBy>greatwall</cp:lastModifiedBy>
  <cp:lastPrinted>2024-01-24T16:58:00Z</cp:lastPrinted>
  <dcterms:modified xsi:type="dcterms:W3CDTF">2024-03-01T11:08:38Z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90C333D39CD822031BDD8C659768AF6F</vt:lpwstr>
  </property>
</Properties>
</file>