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widowControl w:val="0"/>
        <w:wordWrap/>
        <w:adjustRightInd/>
        <w:snapToGrid/>
        <w:spacing w:line="520" w:lineRule="exact"/>
        <w:jc w:val="left"/>
        <w:textAlignment w:val="auto"/>
        <w:rPr>
          <w:rFonts w:hint="eastAsia" w:ascii="黑体" w:hAnsi="黑体" w:eastAsia="黑体" w:cs="黑体"/>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lang w:val="en-US" w:eastAsia="zh-CN"/>
        </w:rPr>
      </w:pPr>
    </w:p>
    <w:p>
      <w:pPr>
        <w:pStyle w:val="4"/>
        <w:widowControl w:val="0"/>
        <w:wordWrap/>
        <w:adjustRightInd/>
        <w:snapToGrid/>
        <w:spacing w:line="520" w:lineRule="exact"/>
        <w:jc w:val="center"/>
        <w:textAlignment w:val="auto"/>
        <w:rPr>
          <w:rFonts w:hint="eastAsia" w:ascii="方正小标宋简体" w:hAnsi="方正小标宋简体" w:eastAsia="方正小标宋简体" w:cs="方正小标宋简体"/>
          <w:color w:val="auto"/>
          <w:sz w:val="44"/>
          <w:szCs w:val="44"/>
          <w:highlight w:val="none"/>
          <w:lang w:eastAsia="zh-CN"/>
        </w:rPr>
      </w:pPr>
      <w:r>
        <w:rPr>
          <w:rFonts w:hint="eastAsia" w:ascii="方正小标宋简体" w:hAnsi="方正小标宋简体" w:eastAsia="方正小标宋简体" w:cs="方正小标宋简体"/>
          <w:color w:val="auto"/>
          <w:sz w:val="44"/>
          <w:szCs w:val="44"/>
          <w:highlight w:val="none"/>
          <w:lang w:eastAsia="zh-CN"/>
        </w:rPr>
        <w:t>石家庄市人力资源和社会保障局</w:t>
      </w:r>
      <w:r>
        <w:rPr>
          <w:rFonts w:hint="default" w:ascii="方正小标宋简体" w:hAnsi="方正小标宋简体" w:eastAsia="方正小标宋简体" w:cs="方正小标宋简体"/>
          <w:color w:val="auto"/>
          <w:sz w:val="44"/>
          <w:szCs w:val="44"/>
          <w:highlight w:val="none"/>
          <w:lang w:eastAsia="zh-CN"/>
        </w:rPr>
        <w:t>保留证明事项目录</w:t>
      </w:r>
      <w:r>
        <w:rPr>
          <w:rFonts w:hint="eastAsia" w:ascii="方正小标宋简体" w:hAnsi="方正小标宋简体" w:eastAsia="方正小标宋简体" w:cs="方正小标宋简体"/>
          <w:color w:val="auto"/>
          <w:sz w:val="44"/>
          <w:szCs w:val="44"/>
          <w:highlight w:val="none"/>
          <w:lang w:eastAsia="zh-CN"/>
        </w:rPr>
        <w:t>（</w:t>
      </w:r>
      <w:r>
        <w:rPr>
          <w:rFonts w:hint="eastAsia" w:ascii="方正小标宋简体" w:hAnsi="方正小标宋简体" w:eastAsia="方正小标宋简体" w:cs="方正小标宋简体"/>
          <w:color w:val="auto"/>
          <w:sz w:val="44"/>
          <w:szCs w:val="44"/>
          <w:highlight w:val="none"/>
          <w:lang w:val="en-US" w:eastAsia="zh-CN"/>
        </w:rPr>
        <w:t>2025年</w:t>
      </w:r>
      <w:r>
        <w:rPr>
          <w:rFonts w:hint="eastAsia" w:ascii="方正小标宋简体" w:hAnsi="方正小标宋简体" w:eastAsia="方正小标宋简体" w:cs="方正小标宋简体"/>
          <w:color w:val="auto"/>
          <w:sz w:val="44"/>
          <w:szCs w:val="44"/>
          <w:highlight w:val="none"/>
          <w:lang w:eastAsia="zh-CN"/>
        </w:rPr>
        <w:t>版）</w:t>
      </w: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lang w:eastAsia="zh-CN"/>
        </w:rPr>
      </w:pPr>
    </w:p>
    <w:tbl>
      <w:tblPr>
        <w:tblStyle w:val="11"/>
        <w:tblW w:w="137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1"/>
        <w:gridCol w:w="887"/>
        <w:gridCol w:w="1000"/>
        <w:gridCol w:w="2300"/>
        <w:gridCol w:w="2218"/>
        <w:gridCol w:w="2070"/>
        <w:gridCol w:w="2075"/>
        <w:gridCol w:w="900"/>
        <w:gridCol w:w="893"/>
        <w:gridCol w:w="7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trPr>
        <w:tc>
          <w:tcPr>
            <w:tcW w:w="601" w:type="dxa"/>
            <w:vMerge w:val="restart"/>
            <w:vAlign w:val="center"/>
          </w:tcPr>
          <w:p>
            <w:pPr>
              <w:pStyle w:val="4"/>
              <w:wordWrap/>
              <w:adjustRightInd/>
              <w:snapToGrid/>
              <w:spacing w:line="200" w:lineRule="exact"/>
              <w:jc w:val="center"/>
              <w:rPr>
                <w:rFonts w:hint="eastAsia" w:ascii="黑体" w:hAnsi="黑体" w:eastAsia="黑体" w:cs="黑体"/>
                <w:color w:val="auto"/>
                <w:kern w:val="0"/>
                <w:sz w:val="15"/>
                <w:szCs w:val="15"/>
                <w:highlight w:val="none"/>
                <w:lang w:eastAsia="zh-CN"/>
              </w:rPr>
            </w:pPr>
            <w:r>
              <w:rPr>
                <w:rFonts w:hint="eastAsia" w:ascii="黑体" w:hAnsi="黑体" w:eastAsia="黑体" w:cs="黑体"/>
                <w:color w:val="auto"/>
                <w:kern w:val="0"/>
                <w:sz w:val="15"/>
                <w:szCs w:val="15"/>
                <w:highlight w:val="none"/>
                <w:lang w:eastAsia="zh-CN"/>
              </w:rPr>
              <w:t>序号</w:t>
            </w:r>
          </w:p>
        </w:tc>
        <w:tc>
          <w:tcPr>
            <w:tcW w:w="887" w:type="dxa"/>
            <w:vMerge w:val="restart"/>
            <w:vAlign w:val="center"/>
          </w:tcPr>
          <w:p>
            <w:pPr>
              <w:pStyle w:val="4"/>
              <w:widowControl w:val="0"/>
              <w:wordWrap/>
              <w:adjustRightInd/>
              <w:snapToGrid/>
              <w:spacing w:line="200" w:lineRule="exact"/>
              <w:jc w:val="center"/>
              <w:textAlignment w:val="auto"/>
              <w:rPr>
                <w:rFonts w:hint="eastAsia" w:ascii="黑体" w:hAnsi="黑体" w:eastAsia="黑体" w:cs="黑体"/>
                <w:color w:val="auto"/>
                <w:kern w:val="0"/>
                <w:sz w:val="15"/>
                <w:szCs w:val="15"/>
                <w:highlight w:val="none"/>
                <w:lang w:eastAsia="zh-CN"/>
              </w:rPr>
            </w:pPr>
            <w:r>
              <w:rPr>
                <w:rFonts w:hint="eastAsia" w:ascii="黑体" w:hAnsi="黑体" w:eastAsia="黑体" w:cs="黑体"/>
                <w:color w:val="auto"/>
                <w:kern w:val="0"/>
                <w:sz w:val="15"/>
                <w:szCs w:val="15"/>
                <w:highlight w:val="none"/>
                <w:lang w:eastAsia="zh-CN"/>
              </w:rPr>
              <w:t>事项</w:t>
            </w:r>
          </w:p>
          <w:p>
            <w:pPr>
              <w:pStyle w:val="4"/>
              <w:widowControl w:val="0"/>
              <w:wordWrap/>
              <w:adjustRightInd/>
              <w:snapToGrid/>
              <w:spacing w:line="200" w:lineRule="exact"/>
              <w:jc w:val="center"/>
              <w:textAlignment w:val="auto"/>
              <w:rPr>
                <w:rFonts w:hint="eastAsia" w:ascii="黑体" w:hAnsi="黑体" w:eastAsia="黑体" w:cs="黑体"/>
                <w:color w:val="auto"/>
                <w:kern w:val="0"/>
                <w:sz w:val="15"/>
                <w:szCs w:val="15"/>
                <w:highlight w:val="none"/>
                <w:lang w:eastAsia="zh-CN"/>
              </w:rPr>
            </w:pPr>
            <w:r>
              <w:rPr>
                <w:rFonts w:hint="eastAsia" w:ascii="黑体" w:hAnsi="黑体" w:eastAsia="黑体" w:cs="黑体"/>
                <w:color w:val="auto"/>
                <w:kern w:val="0"/>
                <w:sz w:val="15"/>
                <w:szCs w:val="15"/>
                <w:highlight w:val="none"/>
                <w:lang w:eastAsia="zh-CN"/>
              </w:rPr>
              <w:t>名称</w:t>
            </w:r>
          </w:p>
        </w:tc>
        <w:tc>
          <w:tcPr>
            <w:tcW w:w="1000" w:type="dxa"/>
            <w:vMerge w:val="restart"/>
            <w:vAlign w:val="center"/>
          </w:tcPr>
          <w:p>
            <w:pPr>
              <w:pStyle w:val="4"/>
              <w:widowControl w:val="0"/>
              <w:wordWrap/>
              <w:adjustRightInd/>
              <w:snapToGrid/>
              <w:spacing w:line="200" w:lineRule="exact"/>
              <w:jc w:val="center"/>
              <w:textAlignment w:val="auto"/>
              <w:rPr>
                <w:rFonts w:hint="eastAsia" w:ascii="黑体" w:hAnsi="黑体" w:eastAsia="黑体" w:cs="黑体"/>
                <w:color w:val="auto"/>
                <w:kern w:val="0"/>
                <w:sz w:val="15"/>
                <w:szCs w:val="15"/>
                <w:highlight w:val="none"/>
                <w:lang w:eastAsia="zh-CN"/>
              </w:rPr>
            </w:pPr>
            <w:r>
              <w:rPr>
                <w:rFonts w:hint="eastAsia" w:ascii="黑体" w:hAnsi="黑体" w:eastAsia="黑体" w:cs="黑体"/>
                <w:color w:val="auto"/>
                <w:kern w:val="0"/>
                <w:sz w:val="15"/>
                <w:szCs w:val="15"/>
                <w:highlight w:val="none"/>
                <w:lang w:eastAsia="zh-CN"/>
              </w:rPr>
              <w:t>事项</w:t>
            </w:r>
          </w:p>
          <w:p>
            <w:pPr>
              <w:pStyle w:val="4"/>
              <w:widowControl w:val="0"/>
              <w:wordWrap/>
              <w:adjustRightInd/>
              <w:snapToGrid/>
              <w:spacing w:line="200" w:lineRule="exact"/>
              <w:jc w:val="center"/>
              <w:textAlignment w:val="auto"/>
              <w:rPr>
                <w:rFonts w:hint="eastAsia" w:ascii="黑体" w:hAnsi="黑体" w:eastAsia="黑体" w:cs="黑体"/>
                <w:color w:val="auto"/>
                <w:kern w:val="0"/>
                <w:sz w:val="15"/>
                <w:szCs w:val="15"/>
                <w:highlight w:val="none"/>
                <w:lang w:eastAsia="zh-CN"/>
              </w:rPr>
            </w:pPr>
            <w:r>
              <w:rPr>
                <w:rFonts w:hint="eastAsia" w:ascii="黑体" w:hAnsi="黑体" w:eastAsia="黑体" w:cs="黑体"/>
                <w:color w:val="auto"/>
                <w:kern w:val="0"/>
                <w:sz w:val="15"/>
                <w:szCs w:val="15"/>
                <w:highlight w:val="none"/>
                <w:lang w:eastAsia="zh-CN"/>
              </w:rPr>
              <w:t>用途</w:t>
            </w:r>
          </w:p>
        </w:tc>
        <w:tc>
          <w:tcPr>
            <w:tcW w:w="8663" w:type="dxa"/>
            <w:gridSpan w:val="4"/>
            <w:vAlign w:val="center"/>
          </w:tcPr>
          <w:p>
            <w:pPr>
              <w:pStyle w:val="4"/>
              <w:widowControl w:val="0"/>
              <w:wordWrap/>
              <w:adjustRightInd/>
              <w:snapToGrid/>
              <w:spacing w:line="200" w:lineRule="exact"/>
              <w:jc w:val="center"/>
              <w:textAlignment w:val="auto"/>
              <w:rPr>
                <w:rFonts w:hint="default" w:ascii="黑体" w:hAnsi="黑体" w:eastAsia="黑体" w:cs="黑体"/>
                <w:color w:val="auto"/>
                <w:kern w:val="0"/>
                <w:sz w:val="15"/>
                <w:szCs w:val="15"/>
                <w:highlight w:val="none"/>
                <w:lang w:eastAsia="zh-CN"/>
              </w:rPr>
            </w:pPr>
            <w:r>
              <w:rPr>
                <w:rFonts w:hint="eastAsia" w:ascii="黑体" w:hAnsi="黑体" w:eastAsia="黑体" w:cs="黑体"/>
                <w:color w:val="auto"/>
                <w:kern w:val="0"/>
                <w:sz w:val="15"/>
                <w:szCs w:val="15"/>
                <w:highlight w:val="none"/>
                <w:lang w:eastAsia="zh-CN"/>
              </w:rPr>
              <w:t>设定依据</w:t>
            </w:r>
          </w:p>
        </w:tc>
        <w:tc>
          <w:tcPr>
            <w:tcW w:w="900" w:type="dxa"/>
            <w:vMerge w:val="restart"/>
            <w:vAlign w:val="center"/>
          </w:tcPr>
          <w:p>
            <w:pPr>
              <w:pStyle w:val="4"/>
              <w:widowControl w:val="0"/>
              <w:wordWrap/>
              <w:adjustRightInd/>
              <w:snapToGrid/>
              <w:spacing w:line="200" w:lineRule="exact"/>
              <w:jc w:val="center"/>
              <w:textAlignment w:val="auto"/>
              <w:rPr>
                <w:rFonts w:hint="eastAsia" w:ascii="黑体" w:hAnsi="黑体" w:eastAsia="黑体" w:cs="黑体"/>
                <w:color w:val="auto"/>
                <w:kern w:val="0"/>
                <w:sz w:val="15"/>
                <w:szCs w:val="15"/>
                <w:highlight w:val="none"/>
                <w:lang w:eastAsia="zh-CN"/>
              </w:rPr>
            </w:pPr>
            <w:r>
              <w:rPr>
                <w:rFonts w:hint="eastAsia" w:ascii="黑体" w:hAnsi="黑体" w:eastAsia="黑体" w:cs="黑体"/>
                <w:color w:val="auto"/>
                <w:kern w:val="0"/>
                <w:sz w:val="15"/>
                <w:szCs w:val="15"/>
                <w:highlight w:val="none"/>
                <w:lang w:eastAsia="zh-CN"/>
              </w:rPr>
              <w:t>索证</w:t>
            </w:r>
          </w:p>
          <w:p>
            <w:pPr>
              <w:pStyle w:val="4"/>
              <w:widowControl w:val="0"/>
              <w:wordWrap/>
              <w:adjustRightInd/>
              <w:snapToGrid/>
              <w:spacing w:line="200" w:lineRule="exact"/>
              <w:jc w:val="center"/>
              <w:textAlignment w:val="auto"/>
              <w:rPr>
                <w:rFonts w:hint="eastAsia" w:ascii="黑体" w:hAnsi="黑体" w:eastAsia="黑体" w:cs="黑体"/>
                <w:color w:val="auto"/>
                <w:kern w:val="0"/>
                <w:sz w:val="15"/>
                <w:szCs w:val="15"/>
                <w:highlight w:val="none"/>
                <w:lang w:eastAsia="zh-CN"/>
              </w:rPr>
            </w:pPr>
            <w:r>
              <w:rPr>
                <w:rFonts w:hint="eastAsia" w:ascii="黑体" w:hAnsi="黑体" w:eastAsia="黑体" w:cs="黑体"/>
                <w:color w:val="auto"/>
                <w:kern w:val="0"/>
                <w:sz w:val="15"/>
                <w:szCs w:val="15"/>
                <w:highlight w:val="none"/>
                <w:lang w:eastAsia="zh-CN"/>
              </w:rPr>
              <w:t>部门</w:t>
            </w:r>
          </w:p>
        </w:tc>
        <w:tc>
          <w:tcPr>
            <w:tcW w:w="893" w:type="dxa"/>
            <w:vMerge w:val="restart"/>
            <w:vAlign w:val="center"/>
          </w:tcPr>
          <w:p>
            <w:pPr>
              <w:pStyle w:val="4"/>
              <w:widowControl w:val="0"/>
              <w:wordWrap/>
              <w:adjustRightInd/>
              <w:snapToGrid/>
              <w:spacing w:line="200" w:lineRule="exact"/>
              <w:jc w:val="center"/>
              <w:textAlignment w:val="auto"/>
              <w:rPr>
                <w:rFonts w:hint="eastAsia" w:ascii="黑体" w:hAnsi="黑体" w:eastAsia="黑体" w:cs="黑体"/>
                <w:color w:val="auto"/>
                <w:kern w:val="0"/>
                <w:sz w:val="15"/>
                <w:szCs w:val="15"/>
                <w:highlight w:val="none"/>
                <w:lang w:eastAsia="zh-CN"/>
              </w:rPr>
            </w:pPr>
            <w:r>
              <w:rPr>
                <w:rFonts w:hint="eastAsia" w:ascii="黑体" w:hAnsi="黑体" w:eastAsia="黑体" w:cs="黑体"/>
                <w:color w:val="auto"/>
                <w:kern w:val="0"/>
                <w:sz w:val="15"/>
                <w:szCs w:val="15"/>
                <w:highlight w:val="none"/>
                <w:lang w:eastAsia="zh-CN"/>
              </w:rPr>
              <w:t>出具</w:t>
            </w:r>
          </w:p>
          <w:p>
            <w:pPr>
              <w:pStyle w:val="4"/>
              <w:widowControl w:val="0"/>
              <w:wordWrap/>
              <w:adjustRightInd/>
              <w:snapToGrid/>
              <w:spacing w:line="200" w:lineRule="exact"/>
              <w:jc w:val="center"/>
              <w:textAlignment w:val="auto"/>
              <w:rPr>
                <w:rFonts w:hint="eastAsia" w:ascii="黑体" w:hAnsi="黑体" w:eastAsia="黑体" w:cs="黑体"/>
                <w:color w:val="auto"/>
                <w:kern w:val="0"/>
                <w:sz w:val="15"/>
                <w:szCs w:val="15"/>
                <w:highlight w:val="none"/>
                <w:lang w:eastAsia="zh-CN"/>
              </w:rPr>
            </w:pPr>
            <w:r>
              <w:rPr>
                <w:rFonts w:hint="eastAsia" w:ascii="黑体" w:hAnsi="黑体" w:eastAsia="黑体" w:cs="黑体"/>
                <w:color w:val="auto"/>
                <w:kern w:val="0"/>
                <w:sz w:val="15"/>
                <w:szCs w:val="15"/>
                <w:highlight w:val="none"/>
                <w:lang w:eastAsia="zh-CN"/>
              </w:rPr>
              <w:t>部门</w:t>
            </w:r>
          </w:p>
        </w:tc>
        <w:tc>
          <w:tcPr>
            <w:tcW w:w="774" w:type="dxa"/>
            <w:vMerge w:val="restart"/>
            <w:vAlign w:val="center"/>
          </w:tcPr>
          <w:p>
            <w:pPr>
              <w:pStyle w:val="4"/>
              <w:widowControl w:val="0"/>
              <w:wordWrap/>
              <w:adjustRightInd/>
              <w:snapToGrid/>
              <w:spacing w:line="200" w:lineRule="exact"/>
              <w:jc w:val="center"/>
              <w:textAlignment w:val="auto"/>
              <w:rPr>
                <w:rFonts w:hint="eastAsia" w:ascii="黑体" w:hAnsi="黑体" w:eastAsia="黑体" w:cs="黑体"/>
                <w:color w:val="auto"/>
                <w:kern w:val="0"/>
                <w:sz w:val="15"/>
                <w:szCs w:val="15"/>
                <w:highlight w:val="none"/>
                <w:lang w:eastAsia="zh-CN"/>
              </w:rPr>
            </w:pPr>
            <w:r>
              <w:rPr>
                <w:rFonts w:hint="eastAsia" w:ascii="黑体" w:hAnsi="黑体" w:eastAsia="黑体" w:cs="黑体"/>
                <w:color w:val="auto"/>
                <w:kern w:val="0"/>
                <w:sz w:val="15"/>
                <w:szCs w:val="15"/>
                <w:highlight w:val="none"/>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trPr>
        <w:tc>
          <w:tcPr>
            <w:tcW w:w="601" w:type="dxa"/>
            <w:vMerge w:val="continue"/>
            <w:vAlign w:val="center"/>
          </w:tcPr>
          <w:p>
            <w:pPr>
              <w:pStyle w:val="4"/>
              <w:wordWrap/>
              <w:adjustRightInd/>
              <w:snapToGrid/>
              <w:spacing w:line="200" w:lineRule="exact"/>
              <w:jc w:val="center"/>
              <w:rPr>
                <w:rFonts w:hint="eastAsia" w:ascii="黑体" w:hAnsi="黑体" w:eastAsia="黑体" w:cs="黑体"/>
                <w:color w:val="auto"/>
                <w:kern w:val="0"/>
                <w:sz w:val="15"/>
                <w:szCs w:val="15"/>
                <w:highlight w:val="none"/>
                <w:lang w:eastAsia="zh-CN"/>
              </w:rPr>
            </w:pPr>
          </w:p>
        </w:tc>
        <w:tc>
          <w:tcPr>
            <w:tcW w:w="887" w:type="dxa"/>
            <w:vMerge w:val="continue"/>
            <w:vAlign w:val="center"/>
          </w:tcPr>
          <w:p>
            <w:pPr>
              <w:pStyle w:val="4"/>
              <w:widowControl w:val="0"/>
              <w:wordWrap/>
              <w:adjustRightInd/>
              <w:snapToGrid/>
              <w:spacing w:line="200" w:lineRule="exact"/>
              <w:jc w:val="center"/>
              <w:textAlignment w:val="auto"/>
              <w:rPr>
                <w:rFonts w:hint="eastAsia" w:ascii="黑体" w:hAnsi="黑体" w:eastAsia="黑体" w:cs="黑体"/>
                <w:color w:val="auto"/>
                <w:kern w:val="0"/>
                <w:sz w:val="15"/>
                <w:szCs w:val="15"/>
                <w:highlight w:val="none"/>
                <w:lang w:eastAsia="zh-CN"/>
              </w:rPr>
            </w:pPr>
          </w:p>
        </w:tc>
        <w:tc>
          <w:tcPr>
            <w:tcW w:w="1000" w:type="dxa"/>
            <w:vMerge w:val="continue"/>
            <w:vAlign w:val="center"/>
          </w:tcPr>
          <w:p>
            <w:pPr>
              <w:pStyle w:val="4"/>
              <w:widowControl w:val="0"/>
              <w:wordWrap/>
              <w:adjustRightInd/>
              <w:snapToGrid/>
              <w:spacing w:line="200" w:lineRule="exact"/>
              <w:jc w:val="center"/>
              <w:textAlignment w:val="auto"/>
              <w:rPr>
                <w:rFonts w:hint="eastAsia" w:ascii="黑体" w:hAnsi="黑体" w:eastAsia="黑体" w:cs="黑体"/>
                <w:color w:val="auto"/>
                <w:kern w:val="0"/>
                <w:sz w:val="15"/>
                <w:szCs w:val="15"/>
                <w:highlight w:val="none"/>
                <w:lang w:eastAsia="zh-CN"/>
              </w:rPr>
            </w:pPr>
          </w:p>
        </w:tc>
        <w:tc>
          <w:tcPr>
            <w:tcW w:w="2300" w:type="dxa"/>
            <w:vAlign w:val="center"/>
          </w:tcPr>
          <w:p>
            <w:pPr>
              <w:pStyle w:val="4"/>
              <w:widowControl w:val="0"/>
              <w:wordWrap/>
              <w:adjustRightInd/>
              <w:snapToGrid/>
              <w:spacing w:line="200" w:lineRule="exact"/>
              <w:jc w:val="center"/>
              <w:textAlignment w:val="auto"/>
              <w:rPr>
                <w:rFonts w:hint="eastAsia" w:ascii="黑体" w:hAnsi="黑体" w:eastAsia="黑体" w:cs="黑体"/>
                <w:color w:val="auto"/>
                <w:kern w:val="2"/>
                <w:sz w:val="15"/>
                <w:szCs w:val="15"/>
                <w:highlight w:val="none"/>
                <w:lang w:val="en-US" w:eastAsia="zh-CN" w:bidi="ar-SA"/>
              </w:rPr>
            </w:pPr>
            <w:r>
              <w:rPr>
                <w:rFonts w:hint="eastAsia" w:ascii="黑体" w:hAnsi="黑体" w:eastAsia="黑体" w:cs="黑体"/>
                <w:color w:val="auto"/>
                <w:kern w:val="0"/>
                <w:sz w:val="15"/>
                <w:szCs w:val="15"/>
                <w:highlight w:val="none"/>
                <w:lang w:eastAsia="zh-CN"/>
              </w:rPr>
              <w:t>法律</w:t>
            </w:r>
          </w:p>
        </w:tc>
        <w:tc>
          <w:tcPr>
            <w:tcW w:w="2218" w:type="dxa"/>
            <w:vAlign w:val="center"/>
          </w:tcPr>
          <w:p>
            <w:pPr>
              <w:pStyle w:val="4"/>
              <w:widowControl w:val="0"/>
              <w:wordWrap/>
              <w:adjustRightInd/>
              <w:snapToGrid/>
              <w:spacing w:line="200" w:lineRule="exact"/>
              <w:jc w:val="center"/>
              <w:textAlignment w:val="auto"/>
              <w:rPr>
                <w:rFonts w:hint="default" w:ascii="黑体" w:hAnsi="黑体" w:eastAsia="黑体" w:cs="黑体"/>
                <w:color w:val="auto"/>
                <w:kern w:val="2"/>
                <w:sz w:val="15"/>
                <w:szCs w:val="15"/>
                <w:highlight w:val="none"/>
                <w:lang w:eastAsia="zh-CN" w:bidi="ar-SA"/>
              </w:rPr>
            </w:pPr>
            <w:r>
              <w:rPr>
                <w:rFonts w:hint="default" w:ascii="黑体" w:hAnsi="黑体" w:eastAsia="黑体" w:cs="黑体"/>
                <w:color w:val="auto"/>
                <w:kern w:val="0"/>
                <w:sz w:val="15"/>
                <w:szCs w:val="15"/>
                <w:highlight w:val="none"/>
                <w:lang w:eastAsia="zh-CN"/>
              </w:rPr>
              <w:t>法规</w:t>
            </w:r>
          </w:p>
        </w:tc>
        <w:tc>
          <w:tcPr>
            <w:tcW w:w="2070" w:type="dxa"/>
            <w:vAlign w:val="center"/>
          </w:tcPr>
          <w:p>
            <w:pPr>
              <w:pStyle w:val="4"/>
              <w:widowControl w:val="0"/>
              <w:wordWrap/>
              <w:adjustRightInd/>
              <w:snapToGrid/>
              <w:spacing w:line="200" w:lineRule="exact"/>
              <w:jc w:val="center"/>
              <w:textAlignment w:val="auto"/>
              <w:rPr>
                <w:rFonts w:hint="default" w:ascii="黑体" w:hAnsi="黑体" w:eastAsia="黑体" w:cs="黑体"/>
                <w:color w:val="auto"/>
                <w:kern w:val="2"/>
                <w:sz w:val="15"/>
                <w:szCs w:val="15"/>
                <w:highlight w:val="none"/>
                <w:lang w:eastAsia="zh-CN" w:bidi="ar-SA"/>
              </w:rPr>
            </w:pPr>
            <w:r>
              <w:rPr>
                <w:rFonts w:hint="default" w:ascii="黑体" w:hAnsi="黑体" w:eastAsia="黑体" w:cs="黑体"/>
                <w:color w:val="auto"/>
                <w:kern w:val="0"/>
                <w:sz w:val="15"/>
                <w:szCs w:val="15"/>
                <w:highlight w:val="none"/>
                <w:lang w:eastAsia="zh-CN"/>
              </w:rPr>
              <w:t>国务院决定</w:t>
            </w:r>
          </w:p>
        </w:tc>
        <w:tc>
          <w:tcPr>
            <w:tcW w:w="2075" w:type="dxa"/>
            <w:vAlign w:val="center"/>
          </w:tcPr>
          <w:p>
            <w:pPr>
              <w:pStyle w:val="4"/>
              <w:widowControl w:val="0"/>
              <w:wordWrap/>
              <w:adjustRightInd/>
              <w:snapToGrid/>
              <w:spacing w:line="200" w:lineRule="exact"/>
              <w:jc w:val="center"/>
              <w:textAlignment w:val="auto"/>
              <w:rPr>
                <w:rFonts w:hint="default" w:ascii="黑体" w:hAnsi="黑体" w:eastAsia="黑体" w:cs="黑体"/>
                <w:color w:val="auto"/>
                <w:kern w:val="2"/>
                <w:sz w:val="15"/>
                <w:szCs w:val="15"/>
                <w:highlight w:val="none"/>
                <w:lang w:eastAsia="zh-CN" w:bidi="ar-SA"/>
              </w:rPr>
            </w:pPr>
            <w:r>
              <w:rPr>
                <w:rFonts w:hint="default" w:ascii="黑体" w:hAnsi="黑体" w:eastAsia="黑体" w:cs="黑体"/>
                <w:color w:val="auto"/>
                <w:kern w:val="0"/>
                <w:sz w:val="15"/>
                <w:szCs w:val="15"/>
                <w:highlight w:val="none"/>
                <w:lang w:eastAsia="zh-CN"/>
              </w:rPr>
              <w:t>规章等程序性规定</w:t>
            </w:r>
          </w:p>
        </w:tc>
        <w:tc>
          <w:tcPr>
            <w:tcW w:w="900" w:type="dxa"/>
            <w:vMerge w:val="continue"/>
            <w:vAlign w:val="center"/>
          </w:tcPr>
          <w:p>
            <w:pPr>
              <w:pStyle w:val="4"/>
              <w:widowControl w:val="0"/>
              <w:wordWrap/>
              <w:adjustRightInd/>
              <w:snapToGrid/>
              <w:spacing w:line="200" w:lineRule="exact"/>
              <w:jc w:val="center"/>
              <w:textAlignment w:val="auto"/>
              <w:rPr>
                <w:rFonts w:hint="eastAsia" w:ascii="黑体" w:hAnsi="黑体" w:eastAsia="黑体" w:cs="黑体"/>
                <w:color w:val="auto"/>
                <w:kern w:val="0"/>
                <w:sz w:val="15"/>
                <w:szCs w:val="15"/>
                <w:highlight w:val="none"/>
                <w:lang w:eastAsia="zh-CN"/>
              </w:rPr>
            </w:pPr>
          </w:p>
        </w:tc>
        <w:tc>
          <w:tcPr>
            <w:tcW w:w="893" w:type="dxa"/>
            <w:vMerge w:val="continue"/>
            <w:vAlign w:val="center"/>
          </w:tcPr>
          <w:p>
            <w:pPr>
              <w:pStyle w:val="4"/>
              <w:widowControl w:val="0"/>
              <w:wordWrap/>
              <w:adjustRightInd/>
              <w:snapToGrid/>
              <w:spacing w:line="200" w:lineRule="exact"/>
              <w:jc w:val="center"/>
              <w:textAlignment w:val="auto"/>
              <w:rPr>
                <w:rFonts w:hint="eastAsia" w:ascii="黑体" w:hAnsi="黑体" w:eastAsia="黑体" w:cs="黑体"/>
                <w:color w:val="auto"/>
                <w:kern w:val="0"/>
                <w:sz w:val="15"/>
                <w:szCs w:val="15"/>
                <w:highlight w:val="none"/>
                <w:lang w:eastAsia="zh-CN"/>
              </w:rPr>
            </w:pPr>
          </w:p>
        </w:tc>
        <w:tc>
          <w:tcPr>
            <w:tcW w:w="774" w:type="dxa"/>
            <w:vMerge w:val="continue"/>
            <w:vAlign w:val="center"/>
          </w:tcPr>
          <w:p>
            <w:pPr>
              <w:pStyle w:val="4"/>
              <w:widowControl w:val="0"/>
              <w:wordWrap/>
              <w:adjustRightInd/>
              <w:snapToGrid/>
              <w:spacing w:line="200" w:lineRule="exact"/>
              <w:jc w:val="center"/>
              <w:textAlignment w:val="auto"/>
              <w:rPr>
                <w:rFonts w:hint="eastAsia" w:ascii="黑体" w:hAnsi="黑体" w:eastAsia="黑体" w:cs="黑体"/>
                <w:color w:val="auto"/>
                <w:kern w:val="0"/>
                <w:sz w:val="15"/>
                <w:szCs w:val="15"/>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4" w:hRule="atLeast"/>
        </w:trPr>
        <w:tc>
          <w:tcPr>
            <w:tcW w:w="601" w:type="dxa"/>
            <w:vAlign w:val="center"/>
          </w:tcPr>
          <w:p>
            <w:pPr>
              <w:widowControl/>
              <w:wordWrap/>
              <w:adjustRightInd/>
              <w:snapToGrid/>
              <w:spacing w:line="200" w:lineRule="exact"/>
              <w:jc w:val="center"/>
              <w:textAlignment w:val="center"/>
              <w:rPr>
                <w:rFonts w:hint="default"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1</w:t>
            </w:r>
          </w:p>
        </w:tc>
        <w:tc>
          <w:tcPr>
            <w:tcW w:w="887"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供养直系亲属与死者关系证明（通过告知承诺制、部门间数据共享核查） </w:t>
            </w:r>
          </w:p>
        </w:tc>
        <w:tc>
          <w:tcPr>
            <w:tcW w:w="10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办理养老保险丧葬补助金、抚恤金核定；个人账户一次性支付核定（养老保险服务）</w:t>
            </w:r>
          </w:p>
        </w:tc>
        <w:tc>
          <w:tcPr>
            <w:tcW w:w="23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《中华人民共和国社会保险法》（2018年12月29日修正）第十七条、第十四条</w:t>
            </w:r>
          </w:p>
        </w:tc>
        <w:tc>
          <w:tcPr>
            <w:tcW w:w="2218"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p>
        </w:tc>
        <w:tc>
          <w:tcPr>
            <w:tcW w:w="207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p>
        </w:tc>
        <w:tc>
          <w:tcPr>
            <w:tcW w:w="2075"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《人力资源社会保障部关于印发机关事业单位工作人员基本养老保险经办规程的通知》（人社部发〔2015〕32号）第四十条、第四十一条</w:t>
            </w:r>
          </w:p>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《关于印发基本养老保险经办业务规程（试行）的通知》（劳社险中心函〔2003〕38号）第六十六条</w:t>
            </w:r>
          </w:p>
        </w:tc>
        <w:tc>
          <w:tcPr>
            <w:tcW w:w="9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人力资源社会保障部门</w:t>
            </w:r>
          </w:p>
        </w:tc>
        <w:tc>
          <w:tcPr>
            <w:tcW w:w="893"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公安派出所</w:t>
            </w:r>
          </w:p>
        </w:tc>
        <w:tc>
          <w:tcPr>
            <w:tcW w:w="774" w:type="dxa"/>
            <w:vAlign w:val="center"/>
          </w:tcPr>
          <w:p>
            <w:pPr>
              <w:widowControl/>
              <w:wordWrap/>
              <w:adjustRightInd/>
              <w:snapToGrid/>
              <w:spacing w:line="200" w:lineRule="exact"/>
              <w:jc w:val="both"/>
              <w:textAlignment w:val="center"/>
              <w:rPr>
                <w:rFonts w:hint="default"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以告知承诺制方式办理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0" w:hRule="atLeast"/>
        </w:trPr>
        <w:tc>
          <w:tcPr>
            <w:tcW w:w="601" w:type="dxa"/>
            <w:vAlign w:val="center"/>
          </w:tcPr>
          <w:p>
            <w:pPr>
              <w:widowControl/>
              <w:wordWrap/>
              <w:adjustRightInd/>
              <w:snapToGrid/>
              <w:spacing w:line="200" w:lineRule="exact"/>
              <w:jc w:val="center"/>
              <w:textAlignment w:val="center"/>
              <w:rPr>
                <w:rFonts w:hint="default"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2</w:t>
            </w:r>
          </w:p>
        </w:tc>
        <w:tc>
          <w:tcPr>
            <w:tcW w:w="887"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死亡证明（通过告知承诺制、部门间数据共享核查）</w:t>
            </w:r>
          </w:p>
        </w:tc>
        <w:tc>
          <w:tcPr>
            <w:tcW w:w="10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办理养老保险丧葬补助金、抚恤金核定；个人账户一次性支付核定（养老保险服务）</w:t>
            </w:r>
          </w:p>
        </w:tc>
        <w:tc>
          <w:tcPr>
            <w:tcW w:w="23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《中华人民共和国社会保险法》（2018年12月29日修正）第十七条、第十四条</w:t>
            </w:r>
          </w:p>
        </w:tc>
        <w:tc>
          <w:tcPr>
            <w:tcW w:w="2218"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《中华人民共和国劳动保险条例》（1953年1月2日修正）第十四条</w:t>
            </w:r>
          </w:p>
        </w:tc>
        <w:tc>
          <w:tcPr>
            <w:tcW w:w="207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《国务院关于建立统一的城乡居民基本养老保险制度的意见》（国发〔2014〕8号）          </w:t>
            </w:r>
          </w:p>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    七、养老保险待遇领取条件：有条件的地方人民政府可以结合本地实际探索建立丧葬补助金制度。</w:t>
            </w:r>
          </w:p>
        </w:tc>
        <w:tc>
          <w:tcPr>
            <w:tcW w:w="2075"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《机关事业单位工作人员基本养老保险经办规程的通知》（人社部发〔2015〕32号）第四十条、第四十一条</w:t>
            </w:r>
          </w:p>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《关于印发基本养老保险经办业务规程（试行）的通知》（劳社险中心函〔2003〕38号）第六十四条、第六十六条、第七十三条</w:t>
            </w:r>
          </w:p>
        </w:tc>
        <w:tc>
          <w:tcPr>
            <w:tcW w:w="9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人力资源社会保障部门</w:t>
            </w:r>
          </w:p>
        </w:tc>
        <w:tc>
          <w:tcPr>
            <w:tcW w:w="893"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人民法院、公安机关、医疗机构</w:t>
            </w:r>
          </w:p>
        </w:tc>
        <w:tc>
          <w:tcPr>
            <w:tcW w:w="774"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以告知承诺制方式办理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5" w:hRule="atLeast"/>
        </w:trPr>
        <w:tc>
          <w:tcPr>
            <w:tcW w:w="601" w:type="dxa"/>
            <w:vAlign w:val="center"/>
          </w:tcPr>
          <w:p>
            <w:pPr>
              <w:widowControl/>
              <w:wordWrap/>
              <w:adjustRightInd/>
              <w:snapToGrid/>
              <w:spacing w:line="200" w:lineRule="exact"/>
              <w:jc w:val="center"/>
              <w:textAlignment w:val="center"/>
              <w:rPr>
                <w:rFonts w:hint="default"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3</w:t>
            </w:r>
          </w:p>
        </w:tc>
        <w:tc>
          <w:tcPr>
            <w:tcW w:w="887"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strike w:val="0"/>
                <w:dstrike w:val="0"/>
                <w:color w:val="auto"/>
                <w:kern w:val="0"/>
                <w:sz w:val="15"/>
                <w:szCs w:val="15"/>
                <w:highlight w:val="none"/>
                <w:u w:val="none"/>
                <w:lang w:val="en-US" w:eastAsia="zh-CN"/>
              </w:rPr>
              <w:t>能够确定指定受益人</w:t>
            </w:r>
            <w:r>
              <w:rPr>
                <w:rFonts w:hint="eastAsia" w:asciiTheme="minorEastAsia" w:hAnsiTheme="minorEastAsia" w:eastAsiaTheme="minorEastAsia" w:cstheme="minorEastAsia"/>
                <w:i w:val="0"/>
                <w:color w:val="auto"/>
                <w:kern w:val="0"/>
                <w:sz w:val="15"/>
                <w:szCs w:val="15"/>
                <w:highlight w:val="none"/>
                <w:u w:val="none"/>
                <w:lang w:val="en-US" w:eastAsia="zh-CN"/>
              </w:rPr>
              <w:t>、法定继承人继承权的公证文书</w:t>
            </w:r>
          </w:p>
        </w:tc>
        <w:tc>
          <w:tcPr>
            <w:tcW w:w="10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城乡居民基本养老保险注销登记</w:t>
            </w:r>
          </w:p>
        </w:tc>
        <w:tc>
          <w:tcPr>
            <w:tcW w:w="23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bidi="ar-SA"/>
              </w:rPr>
            </w:pPr>
          </w:p>
        </w:tc>
        <w:tc>
          <w:tcPr>
            <w:tcW w:w="2218"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bidi="ar-SA"/>
              </w:rPr>
            </w:pPr>
          </w:p>
        </w:tc>
        <w:tc>
          <w:tcPr>
            <w:tcW w:w="207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bidi="ar-SA"/>
              </w:rPr>
            </w:pPr>
            <w:r>
              <w:rPr>
                <w:rFonts w:hint="eastAsia" w:asciiTheme="minorEastAsia" w:hAnsiTheme="minorEastAsia" w:eastAsiaTheme="minorEastAsia" w:cstheme="minorEastAsia"/>
                <w:i w:val="0"/>
                <w:color w:val="auto"/>
                <w:kern w:val="0"/>
                <w:sz w:val="15"/>
                <w:szCs w:val="15"/>
                <w:highlight w:val="none"/>
                <w:u w:val="none"/>
                <w:lang w:val="en-US" w:eastAsia="zh-CN"/>
              </w:rPr>
              <w:t>《国务院关于建立统一的城乡居民基本养老保险制度的意见》（国发〔2014〕8号）第七条</w:t>
            </w:r>
          </w:p>
        </w:tc>
        <w:tc>
          <w:tcPr>
            <w:tcW w:w="2075"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bidi="ar-SA"/>
              </w:rPr>
            </w:pPr>
            <w:r>
              <w:rPr>
                <w:rFonts w:hint="eastAsia" w:asciiTheme="minorEastAsia" w:hAnsiTheme="minorEastAsia" w:eastAsiaTheme="minorEastAsia" w:cstheme="minorEastAsia"/>
                <w:i w:val="0"/>
                <w:color w:val="auto"/>
                <w:kern w:val="0"/>
                <w:sz w:val="15"/>
                <w:szCs w:val="15"/>
                <w:highlight w:val="none"/>
                <w:u w:val="none"/>
                <w:lang w:val="en-US" w:eastAsia="zh-CN"/>
              </w:rPr>
              <w:t>《城乡居民基本养老保险经办规程》（人社部发〔2019〕84号）第三十七条、第三十八条</w:t>
            </w:r>
          </w:p>
        </w:tc>
        <w:tc>
          <w:tcPr>
            <w:tcW w:w="9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bidi="ar-SA"/>
              </w:rPr>
            </w:pPr>
            <w:r>
              <w:rPr>
                <w:rFonts w:hint="eastAsia" w:asciiTheme="minorEastAsia" w:hAnsiTheme="minorEastAsia" w:eastAsiaTheme="minorEastAsia" w:cstheme="minorEastAsia"/>
                <w:i w:val="0"/>
                <w:color w:val="auto"/>
                <w:kern w:val="0"/>
                <w:sz w:val="15"/>
                <w:szCs w:val="15"/>
                <w:highlight w:val="none"/>
                <w:u w:val="none"/>
                <w:lang w:val="en-US" w:eastAsia="zh-CN"/>
              </w:rPr>
              <w:t>人力资源社会保障部门</w:t>
            </w:r>
          </w:p>
        </w:tc>
        <w:tc>
          <w:tcPr>
            <w:tcW w:w="893" w:type="dxa"/>
            <w:vAlign w:val="center"/>
          </w:tcPr>
          <w:p>
            <w:pPr>
              <w:widowControl/>
              <w:wordWrap/>
              <w:adjustRightInd/>
              <w:snapToGrid/>
              <w:spacing w:line="200" w:lineRule="exact"/>
              <w:jc w:val="center"/>
              <w:textAlignment w:val="center"/>
              <w:rPr>
                <w:rFonts w:hint="eastAsia" w:asciiTheme="minorEastAsia" w:hAnsiTheme="minorEastAsia" w:eastAsiaTheme="minorEastAsia" w:cstheme="minorEastAsia"/>
                <w:i w:val="0"/>
                <w:color w:val="auto"/>
                <w:kern w:val="0"/>
                <w:sz w:val="15"/>
                <w:szCs w:val="15"/>
                <w:highlight w:val="none"/>
                <w:u w:val="none"/>
                <w:lang w:val="en-US" w:eastAsia="zh-CN" w:bidi="ar-SA"/>
              </w:rPr>
            </w:pPr>
            <w:r>
              <w:rPr>
                <w:rFonts w:hint="eastAsia" w:asciiTheme="minorEastAsia" w:hAnsiTheme="minorEastAsia" w:eastAsiaTheme="minorEastAsia" w:cstheme="minorEastAsia"/>
                <w:i w:val="0"/>
                <w:color w:val="auto"/>
                <w:kern w:val="0"/>
                <w:sz w:val="15"/>
                <w:szCs w:val="15"/>
                <w:highlight w:val="none"/>
                <w:u w:val="none"/>
                <w:lang w:val="en-US" w:eastAsia="zh-CN" w:bidi="ar-SA"/>
              </w:rPr>
              <w:t>公证机构</w:t>
            </w:r>
          </w:p>
        </w:tc>
        <w:tc>
          <w:tcPr>
            <w:tcW w:w="774"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以告知承诺制方式办理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5" w:hRule="atLeast"/>
        </w:trPr>
        <w:tc>
          <w:tcPr>
            <w:tcW w:w="601" w:type="dxa"/>
            <w:vAlign w:val="center"/>
          </w:tcPr>
          <w:p>
            <w:pPr>
              <w:widowControl/>
              <w:wordWrap/>
              <w:adjustRightInd/>
              <w:snapToGrid/>
              <w:spacing w:line="200" w:lineRule="exact"/>
              <w:jc w:val="center"/>
              <w:textAlignment w:val="center"/>
              <w:rPr>
                <w:rFonts w:hint="default"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4</w:t>
            </w:r>
          </w:p>
        </w:tc>
        <w:tc>
          <w:tcPr>
            <w:tcW w:w="887"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bidi="ar-SA"/>
              </w:rPr>
            </w:pPr>
            <w:r>
              <w:rPr>
                <w:rFonts w:hint="eastAsia" w:asciiTheme="minorEastAsia" w:hAnsiTheme="minorEastAsia" w:eastAsiaTheme="minorEastAsia" w:cstheme="minorEastAsia"/>
                <w:i w:val="0"/>
                <w:color w:val="auto"/>
                <w:kern w:val="0"/>
                <w:sz w:val="15"/>
                <w:szCs w:val="15"/>
                <w:highlight w:val="none"/>
                <w:u w:val="none"/>
                <w:lang w:val="en-US" w:eastAsia="zh-CN"/>
              </w:rPr>
              <w:t>近亲属关系证明（结婚证、户口簿、出生证明等不能证明的）</w:t>
            </w:r>
          </w:p>
        </w:tc>
        <w:tc>
          <w:tcPr>
            <w:tcW w:w="10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bidi="ar-SA"/>
              </w:rPr>
            </w:pPr>
            <w:r>
              <w:rPr>
                <w:rFonts w:hint="eastAsia" w:asciiTheme="minorEastAsia" w:hAnsiTheme="minorEastAsia" w:eastAsiaTheme="minorEastAsia" w:cstheme="minorEastAsia"/>
                <w:i w:val="0"/>
                <w:color w:val="auto"/>
                <w:kern w:val="0"/>
                <w:sz w:val="15"/>
                <w:szCs w:val="15"/>
                <w:highlight w:val="none"/>
                <w:u w:val="none"/>
                <w:lang w:val="en-US" w:eastAsia="zh-CN"/>
              </w:rPr>
              <w:t>申请工伤认定（申请人资格）</w:t>
            </w:r>
          </w:p>
        </w:tc>
        <w:tc>
          <w:tcPr>
            <w:tcW w:w="2300" w:type="dxa"/>
            <w:vAlign w:val="center"/>
          </w:tcPr>
          <w:p>
            <w:pPr>
              <w:wordWrap/>
              <w:adjustRightInd/>
              <w:snapToGrid/>
              <w:spacing w:line="200" w:lineRule="exact"/>
              <w:jc w:val="both"/>
              <w:rPr>
                <w:rFonts w:hint="eastAsia" w:asciiTheme="minorEastAsia" w:hAnsiTheme="minorEastAsia" w:eastAsiaTheme="minorEastAsia" w:cstheme="minorEastAsia"/>
                <w:i w:val="0"/>
                <w:color w:val="auto"/>
                <w:kern w:val="0"/>
                <w:sz w:val="15"/>
                <w:szCs w:val="15"/>
                <w:highlight w:val="none"/>
                <w:u w:val="none"/>
                <w:lang w:val="en-US" w:eastAsia="zh-CN" w:bidi="ar-SA"/>
              </w:rPr>
            </w:pPr>
          </w:p>
        </w:tc>
        <w:tc>
          <w:tcPr>
            <w:tcW w:w="2218"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bidi="ar-SA"/>
              </w:rPr>
            </w:pPr>
            <w:r>
              <w:rPr>
                <w:rFonts w:hint="eastAsia" w:asciiTheme="minorEastAsia" w:hAnsiTheme="minorEastAsia" w:eastAsiaTheme="minorEastAsia" w:cstheme="minorEastAsia"/>
                <w:i w:val="0"/>
                <w:color w:val="auto"/>
                <w:kern w:val="0"/>
                <w:sz w:val="15"/>
                <w:szCs w:val="15"/>
                <w:highlight w:val="none"/>
                <w:u w:val="none"/>
                <w:lang w:val="en-US" w:eastAsia="zh-CN"/>
              </w:rPr>
              <w:t>《工伤保险条例》（国务院令第586号）第十七条</w:t>
            </w:r>
          </w:p>
        </w:tc>
        <w:tc>
          <w:tcPr>
            <w:tcW w:w="207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p>
        </w:tc>
        <w:tc>
          <w:tcPr>
            <w:tcW w:w="2075"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p>
        </w:tc>
        <w:tc>
          <w:tcPr>
            <w:tcW w:w="9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市级人力资源和社会保障部门</w:t>
            </w:r>
          </w:p>
        </w:tc>
        <w:tc>
          <w:tcPr>
            <w:tcW w:w="893"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原户籍地公安派出所</w:t>
            </w:r>
          </w:p>
        </w:tc>
        <w:tc>
          <w:tcPr>
            <w:tcW w:w="774"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5" w:hRule="atLeast"/>
        </w:trPr>
        <w:tc>
          <w:tcPr>
            <w:tcW w:w="601" w:type="dxa"/>
            <w:vAlign w:val="center"/>
          </w:tcPr>
          <w:p>
            <w:pPr>
              <w:widowControl/>
              <w:wordWrap/>
              <w:adjustRightInd/>
              <w:snapToGrid/>
              <w:spacing w:line="200" w:lineRule="exact"/>
              <w:jc w:val="center"/>
              <w:textAlignment w:val="center"/>
              <w:rPr>
                <w:rFonts w:hint="default"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5</w:t>
            </w:r>
          </w:p>
        </w:tc>
        <w:tc>
          <w:tcPr>
            <w:tcW w:w="887"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bidi="ar-SA"/>
              </w:rPr>
            </w:pPr>
            <w:r>
              <w:rPr>
                <w:rFonts w:hint="eastAsia" w:asciiTheme="minorEastAsia" w:hAnsiTheme="minorEastAsia" w:eastAsiaTheme="minorEastAsia" w:cstheme="minorEastAsia"/>
                <w:i w:val="0"/>
                <w:color w:val="auto"/>
                <w:kern w:val="0"/>
                <w:sz w:val="15"/>
                <w:szCs w:val="15"/>
                <w:highlight w:val="none"/>
                <w:u w:val="none"/>
                <w:lang w:val="en-US" w:eastAsia="zh-CN"/>
              </w:rPr>
              <w:t>经济困难证明</w:t>
            </w:r>
          </w:p>
        </w:tc>
        <w:tc>
          <w:tcPr>
            <w:tcW w:w="10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bidi="ar-SA"/>
              </w:rPr>
            </w:pPr>
            <w:r>
              <w:rPr>
                <w:rFonts w:hint="eastAsia" w:asciiTheme="minorEastAsia" w:hAnsiTheme="minorEastAsia" w:eastAsiaTheme="minorEastAsia" w:cstheme="minorEastAsia"/>
                <w:i w:val="0"/>
                <w:color w:val="auto"/>
                <w:kern w:val="0"/>
                <w:sz w:val="15"/>
                <w:szCs w:val="15"/>
                <w:highlight w:val="none"/>
                <w:u w:val="none"/>
                <w:lang w:val="en-US" w:eastAsia="zh-CN"/>
              </w:rPr>
              <w:t>申领遗属生活困难补助</w:t>
            </w:r>
          </w:p>
        </w:tc>
        <w:tc>
          <w:tcPr>
            <w:tcW w:w="23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bidi="ar-SA"/>
              </w:rPr>
            </w:pPr>
            <w:r>
              <w:rPr>
                <w:rFonts w:hint="eastAsia" w:asciiTheme="minorEastAsia" w:hAnsiTheme="minorEastAsia" w:eastAsiaTheme="minorEastAsia" w:cstheme="minorEastAsia"/>
                <w:i w:val="0"/>
                <w:color w:val="auto"/>
                <w:kern w:val="0"/>
                <w:sz w:val="15"/>
                <w:szCs w:val="15"/>
                <w:highlight w:val="none"/>
                <w:u w:val="none"/>
                <w:lang w:val="en-US" w:eastAsia="zh-CN"/>
              </w:rPr>
              <w:t>《中华人民共和国社会保险法》（2018年12月29日修正）第十七条</w:t>
            </w:r>
          </w:p>
        </w:tc>
        <w:tc>
          <w:tcPr>
            <w:tcW w:w="2218" w:type="dxa"/>
            <w:vAlign w:val="center"/>
          </w:tcPr>
          <w:p>
            <w:pPr>
              <w:wordWrap/>
              <w:adjustRightInd/>
              <w:snapToGrid/>
              <w:spacing w:line="200" w:lineRule="exact"/>
              <w:rPr>
                <w:rFonts w:hint="eastAsia" w:asciiTheme="minorEastAsia" w:hAnsiTheme="minorEastAsia" w:eastAsiaTheme="minorEastAsia" w:cstheme="minorEastAsia"/>
                <w:i w:val="0"/>
                <w:color w:val="auto"/>
                <w:kern w:val="0"/>
                <w:sz w:val="15"/>
                <w:szCs w:val="15"/>
                <w:highlight w:val="none"/>
                <w:u w:val="none"/>
                <w:lang w:val="en-US" w:eastAsia="zh-CN" w:bidi="ar-SA"/>
              </w:rPr>
            </w:pPr>
          </w:p>
        </w:tc>
        <w:tc>
          <w:tcPr>
            <w:tcW w:w="2070" w:type="dxa"/>
            <w:vAlign w:val="center"/>
          </w:tcPr>
          <w:p>
            <w:pPr>
              <w:wordWrap/>
              <w:adjustRightInd/>
              <w:snapToGrid/>
              <w:spacing w:line="200" w:lineRule="exact"/>
              <w:jc w:val="both"/>
              <w:rPr>
                <w:rFonts w:hint="eastAsia" w:asciiTheme="minorEastAsia" w:hAnsiTheme="minorEastAsia" w:eastAsiaTheme="minorEastAsia" w:cstheme="minorEastAsia"/>
                <w:i w:val="0"/>
                <w:color w:val="auto"/>
                <w:kern w:val="0"/>
                <w:sz w:val="15"/>
                <w:szCs w:val="15"/>
                <w:highlight w:val="none"/>
                <w:u w:val="none"/>
                <w:lang w:val="en-US" w:eastAsia="zh-CN" w:bidi="ar-SA"/>
              </w:rPr>
            </w:pPr>
          </w:p>
        </w:tc>
        <w:tc>
          <w:tcPr>
            <w:tcW w:w="2075"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bidi="ar-SA"/>
              </w:rPr>
            </w:pPr>
            <w:r>
              <w:rPr>
                <w:rFonts w:hint="eastAsia" w:asciiTheme="minorEastAsia" w:hAnsiTheme="minorEastAsia" w:eastAsiaTheme="minorEastAsia" w:cstheme="minorEastAsia"/>
                <w:i w:val="0"/>
                <w:color w:val="auto"/>
                <w:kern w:val="0"/>
                <w:sz w:val="15"/>
                <w:szCs w:val="15"/>
                <w:highlight w:val="none"/>
                <w:u w:val="none"/>
                <w:lang w:val="en-US" w:eastAsia="zh-CN"/>
              </w:rPr>
              <w:t>《中华人民共和国劳动保险条例实施细则修正草案》（1953年1月26日劳动部颁布）第四十五条、第四十六条</w:t>
            </w:r>
          </w:p>
        </w:tc>
        <w:tc>
          <w:tcPr>
            <w:tcW w:w="9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bidi="ar-SA"/>
              </w:rPr>
            </w:pPr>
            <w:r>
              <w:rPr>
                <w:rFonts w:hint="eastAsia" w:asciiTheme="minorEastAsia" w:hAnsiTheme="minorEastAsia" w:eastAsiaTheme="minorEastAsia" w:cstheme="minorEastAsia"/>
                <w:i w:val="0"/>
                <w:color w:val="auto"/>
                <w:kern w:val="0"/>
                <w:sz w:val="15"/>
                <w:szCs w:val="15"/>
                <w:highlight w:val="none"/>
                <w:u w:val="none"/>
                <w:lang w:val="en-US" w:eastAsia="zh-CN"/>
              </w:rPr>
              <w:t>市、县人力资源社会保障部门</w:t>
            </w:r>
          </w:p>
        </w:tc>
        <w:tc>
          <w:tcPr>
            <w:tcW w:w="893"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bidi="ar-SA"/>
              </w:rPr>
            </w:pPr>
            <w:r>
              <w:rPr>
                <w:rFonts w:hint="eastAsia" w:asciiTheme="minorEastAsia" w:hAnsiTheme="minorEastAsia" w:eastAsiaTheme="minorEastAsia" w:cstheme="minorEastAsia"/>
                <w:i w:val="0"/>
                <w:color w:val="auto"/>
                <w:kern w:val="0"/>
                <w:sz w:val="15"/>
                <w:szCs w:val="15"/>
                <w:highlight w:val="none"/>
                <w:u w:val="none"/>
                <w:lang w:val="en-US" w:eastAsia="zh-CN"/>
              </w:rPr>
              <w:t>遗属供养亲属户籍所在地乡镇政府（街道办事处）</w:t>
            </w:r>
          </w:p>
        </w:tc>
        <w:tc>
          <w:tcPr>
            <w:tcW w:w="774"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5" w:hRule="atLeast"/>
        </w:trPr>
        <w:tc>
          <w:tcPr>
            <w:tcW w:w="601" w:type="dxa"/>
            <w:vAlign w:val="center"/>
          </w:tcPr>
          <w:p>
            <w:pPr>
              <w:widowControl/>
              <w:wordWrap/>
              <w:adjustRightInd/>
              <w:snapToGrid/>
              <w:spacing w:line="200" w:lineRule="exact"/>
              <w:jc w:val="center"/>
              <w:textAlignment w:val="center"/>
              <w:rPr>
                <w:rFonts w:hint="default"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6</w:t>
            </w:r>
          </w:p>
        </w:tc>
        <w:tc>
          <w:tcPr>
            <w:tcW w:w="887"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bidi="ar-SA"/>
              </w:rPr>
            </w:pPr>
            <w:r>
              <w:rPr>
                <w:rFonts w:hint="eastAsia" w:asciiTheme="minorEastAsia" w:hAnsiTheme="minorEastAsia" w:eastAsiaTheme="minorEastAsia" w:cstheme="minorEastAsia"/>
                <w:i w:val="0"/>
                <w:color w:val="auto"/>
                <w:kern w:val="0"/>
                <w:sz w:val="15"/>
                <w:szCs w:val="15"/>
                <w:highlight w:val="none"/>
                <w:u w:val="none"/>
                <w:lang w:val="en-US" w:eastAsia="zh-CN"/>
              </w:rPr>
              <w:t>抢险救灾等维护国家利益、社会公共利益活动中受到伤害的证明</w:t>
            </w:r>
          </w:p>
        </w:tc>
        <w:tc>
          <w:tcPr>
            <w:tcW w:w="10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bidi="ar-SA"/>
              </w:rPr>
            </w:pPr>
            <w:r>
              <w:rPr>
                <w:rFonts w:hint="eastAsia" w:asciiTheme="minorEastAsia" w:hAnsiTheme="minorEastAsia" w:eastAsiaTheme="minorEastAsia" w:cstheme="minorEastAsia"/>
                <w:i w:val="0"/>
                <w:color w:val="auto"/>
                <w:kern w:val="0"/>
                <w:sz w:val="15"/>
                <w:szCs w:val="15"/>
                <w:highlight w:val="none"/>
                <w:u w:val="none"/>
                <w:lang w:val="en-US" w:eastAsia="zh-CN"/>
              </w:rPr>
              <w:t>工伤认定申请</w:t>
            </w:r>
          </w:p>
        </w:tc>
        <w:tc>
          <w:tcPr>
            <w:tcW w:w="2300" w:type="dxa"/>
            <w:vAlign w:val="center"/>
          </w:tcPr>
          <w:p>
            <w:pPr>
              <w:wordWrap/>
              <w:adjustRightInd/>
              <w:snapToGrid/>
              <w:spacing w:line="200" w:lineRule="exact"/>
              <w:jc w:val="both"/>
              <w:rPr>
                <w:rFonts w:hint="eastAsia" w:asciiTheme="minorEastAsia" w:hAnsiTheme="minorEastAsia" w:eastAsiaTheme="minorEastAsia" w:cstheme="minorEastAsia"/>
                <w:i w:val="0"/>
                <w:color w:val="auto"/>
                <w:kern w:val="0"/>
                <w:sz w:val="15"/>
                <w:szCs w:val="15"/>
                <w:highlight w:val="none"/>
                <w:u w:val="none"/>
                <w:lang w:val="en-US" w:eastAsia="zh-CN" w:bidi="ar-SA"/>
              </w:rPr>
            </w:pPr>
          </w:p>
        </w:tc>
        <w:tc>
          <w:tcPr>
            <w:tcW w:w="2218"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bidi="ar-SA"/>
              </w:rPr>
            </w:pPr>
            <w:r>
              <w:rPr>
                <w:rFonts w:hint="eastAsia" w:asciiTheme="minorEastAsia" w:hAnsiTheme="minorEastAsia" w:eastAsiaTheme="minorEastAsia" w:cstheme="minorEastAsia"/>
                <w:i w:val="0"/>
                <w:color w:val="auto"/>
                <w:kern w:val="0"/>
                <w:sz w:val="15"/>
                <w:szCs w:val="15"/>
                <w:highlight w:val="none"/>
                <w:u w:val="none"/>
                <w:lang w:val="en-US" w:eastAsia="zh-CN"/>
              </w:rPr>
              <w:t>《工伤保险条例》（国务院令第586号）第十五条</w:t>
            </w:r>
            <w:r>
              <w:rPr>
                <w:rFonts w:hint="eastAsia" w:asciiTheme="minorEastAsia" w:hAnsiTheme="minorEastAsia" w:eastAsiaTheme="minorEastAsia" w:cstheme="minorEastAsia"/>
                <w:i w:val="0"/>
                <w:color w:val="auto"/>
                <w:kern w:val="0"/>
                <w:sz w:val="15"/>
                <w:szCs w:val="15"/>
                <w:highlight w:val="none"/>
                <w:u w:val="none"/>
                <w:lang w:val="en-US" w:eastAsia="zh-CN"/>
              </w:rPr>
              <w:br w:type="textWrapping"/>
            </w:r>
            <w:r>
              <w:rPr>
                <w:rFonts w:hint="eastAsia" w:asciiTheme="minorEastAsia" w:hAnsiTheme="minorEastAsia" w:eastAsiaTheme="minorEastAsia" w:cstheme="minorEastAsia"/>
                <w:i w:val="0"/>
                <w:color w:val="auto"/>
                <w:kern w:val="0"/>
                <w:sz w:val="15"/>
                <w:szCs w:val="15"/>
                <w:highlight w:val="none"/>
                <w:u w:val="none"/>
                <w:lang w:val="en-US" w:eastAsia="zh-CN"/>
              </w:rPr>
              <w:t>《河北省奖励和保护见义勇为条例》（2015年1月1日起施行）第十二条</w:t>
            </w:r>
          </w:p>
        </w:tc>
        <w:tc>
          <w:tcPr>
            <w:tcW w:w="2070" w:type="dxa"/>
            <w:vAlign w:val="center"/>
          </w:tcPr>
          <w:p>
            <w:pPr>
              <w:wordWrap/>
              <w:adjustRightInd/>
              <w:snapToGrid/>
              <w:spacing w:line="200" w:lineRule="exact"/>
              <w:jc w:val="both"/>
              <w:rPr>
                <w:rFonts w:hint="eastAsia" w:asciiTheme="minorEastAsia" w:hAnsiTheme="minorEastAsia" w:eastAsiaTheme="minorEastAsia" w:cstheme="minorEastAsia"/>
                <w:i w:val="0"/>
                <w:color w:val="auto"/>
                <w:kern w:val="0"/>
                <w:sz w:val="15"/>
                <w:szCs w:val="15"/>
                <w:highlight w:val="none"/>
                <w:u w:val="none"/>
                <w:lang w:val="en-US" w:eastAsia="zh-CN" w:bidi="ar-SA"/>
              </w:rPr>
            </w:pPr>
          </w:p>
        </w:tc>
        <w:tc>
          <w:tcPr>
            <w:tcW w:w="2075" w:type="dxa"/>
            <w:vAlign w:val="center"/>
          </w:tcPr>
          <w:p>
            <w:pPr>
              <w:wordWrap/>
              <w:adjustRightInd/>
              <w:snapToGrid/>
              <w:spacing w:line="200" w:lineRule="exact"/>
              <w:jc w:val="both"/>
              <w:rPr>
                <w:rFonts w:hint="eastAsia" w:asciiTheme="minorEastAsia" w:hAnsiTheme="minorEastAsia" w:eastAsiaTheme="minorEastAsia" w:cstheme="minorEastAsia"/>
                <w:i w:val="0"/>
                <w:color w:val="auto"/>
                <w:kern w:val="0"/>
                <w:sz w:val="15"/>
                <w:szCs w:val="15"/>
                <w:highlight w:val="none"/>
                <w:u w:val="none"/>
                <w:lang w:val="en-US" w:eastAsia="zh-CN" w:bidi="ar-SA"/>
              </w:rPr>
            </w:pPr>
          </w:p>
        </w:tc>
        <w:tc>
          <w:tcPr>
            <w:tcW w:w="9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bidi="ar-SA"/>
              </w:rPr>
            </w:pPr>
            <w:r>
              <w:rPr>
                <w:rFonts w:hint="eastAsia" w:asciiTheme="minorEastAsia" w:hAnsiTheme="minorEastAsia" w:eastAsiaTheme="minorEastAsia" w:cstheme="minorEastAsia"/>
                <w:i w:val="0"/>
                <w:color w:val="auto"/>
                <w:kern w:val="0"/>
                <w:sz w:val="15"/>
                <w:szCs w:val="15"/>
                <w:highlight w:val="none"/>
                <w:u w:val="none"/>
                <w:lang w:val="en-US" w:eastAsia="zh-CN"/>
              </w:rPr>
              <w:t>市级人力资源和社会保障部门</w:t>
            </w:r>
          </w:p>
        </w:tc>
        <w:tc>
          <w:tcPr>
            <w:tcW w:w="893"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bidi="ar-SA"/>
              </w:rPr>
            </w:pPr>
            <w:r>
              <w:rPr>
                <w:rFonts w:hint="eastAsia" w:asciiTheme="minorEastAsia" w:hAnsiTheme="minorEastAsia" w:eastAsiaTheme="minorEastAsia" w:cstheme="minorEastAsia"/>
                <w:i w:val="0"/>
                <w:color w:val="auto"/>
                <w:kern w:val="0"/>
                <w:sz w:val="15"/>
                <w:szCs w:val="15"/>
                <w:highlight w:val="none"/>
                <w:u w:val="none"/>
                <w:lang w:val="en-US" w:eastAsia="zh-CN"/>
              </w:rPr>
              <w:t>见义勇为行为发生地公安机关、民政部门、乡镇人民政府、街道办事处、有关人民团体</w:t>
            </w:r>
          </w:p>
        </w:tc>
        <w:tc>
          <w:tcPr>
            <w:tcW w:w="774"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5" w:hRule="atLeast"/>
        </w:trPr>
        <w:tc>
          <w:tcPr>
            <w:tcW w:w="601" w:type="dxa"/>
            <w:vAlign w:val="center"/>
          </w:tcPr>
          <w:p>
            <w:pPr>
              <w:widowControl/>
              <w:wordWrap/>
              <w:adjustRightInd/>
              <w:snapToGrid/>
              <w:spacing w:line="200" w:lineRule="exact"/>
              <w:jc w:val="center"/>
              <w:textAlignment w:val="center"/>
              <w:rPr>
                <w:rFonts w:hint="default"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7</w:t>
            </w:r>
          </w:p>
        </w:tc>
        <w:tc>
          <w:tcPr>
            <w:tcW w:w="887"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与工亡职工关系的证明（结婚证、居民户口簿、《出生医学证明》等不能证明的）</w:t>
            </w:r>
          </w:p>
        </w:tc>
        <w:tc>
          <w:tcPr>
            <w:tcW w:w="10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供养亲属抚恤金申领（工伤保险服务）</w:t>
            </w:r>
          </w:p>
        </w:tc>
        <w:tc>
          <w:tcPr>
            <w:tcW w:w="23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《中华人民共和国社会保险法》（2018年12月29日修正）第三十八条</w:t>
            </w:r>
          </w:p>
        </w:tc>
        <w:tc>
          <w:tcPr>
            <w:tcW w:w="2218"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《工伤保险条例》（国务院令第586号）第三十九条、第四十一条</w:t>
            </w:r>
          </w:p>
        </w:tc>
        <w:tc>
          <w:tcPr>
            <w:tcW w:w="207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p>
        </w:tc>
        <w:tc>
          <w:tcPr>
            <w:tcW w:w="2075"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《关于印发工伤保险经办规程的通知》（人社部发〔2012〕11号）第七十条</w:t>
            </w:r>
          </w:p>
        </w:tc>
        <w:tc>
          <w:tcPr>
            <w:tcW w:w="9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人力资源社会保障部门</w:t>
            </w:r>
          </w:p>
        </w:tc>
        <w:tc>
          <w:tcPr>
            <w:tcW w:w="893"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公安派出所</w:t>
            </w:r>
          </w:p>
        </w:tc>
        <w:tc>
          <w:tcPr>
            <w:tcW w:w="774"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0" w:hRule="atLeast"/>
        </w:trPr>
        <w:tc>
          <w:tcPr>
            <w:tcW w:w="601" w:type="dxa"/>
            <w:vAlign w:val="center"/>
          </w:tcPr>
          <w:p>
            <w:pPr>
              <w:widowControl/>
              <w:wordWrap/>
              <w:adjustRightInd/>
              <w:snapToGrid/>
              <w:spacing w:line="200" w:lineRule="exact"/>
              <w:jc w:val="center"/>
              <w:textAlignment w:val="center"/>
              <w:rPr>
                <w:rFonts w:hint="default"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8</w:t>
            </w:r>
          </w:p>
        </w:tc>
        <w:tc>
          <w:tcPr>
            <w:tcW w:w="887"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依靠工亡职工生前提供主要生活来源的证明（告知承诺制办理）</w:t>
            </w:r>
          </w:p>
        </w:tc>
        <w:tc>
          <w:tcPr>
            <w:tcW w:w="10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供养亲属抚恤金申领（工伤保险服务）</w:t>
            </w:r>
          </w:p>
        </w:tc>
        <w:tc>
          <w:tcPr>
            <w:tcW w:w="23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《中华人民共和国社会保险法》（2018年12月29日修正）第三十八条</w:t>
            </w:r>
          </w:p>
        </w:tc>
        <w:tc>
          <w:tcPr>
            <w:tcW w:w="2218"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《工伤保险条例》（国务院令第586号）第三十九条、第四十一条  </w:t>
            </w:r>
          </w:p>
        </w:tc>
        <w:tc>
          <w:tcPr>
            <w:tcW w:w="207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p>
        </w:tc>
        <w:tc>
          <w:tcPr>
            <w:tcW w:w="2075"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《关于印发工伤保险经办规程的通知》（人社部发〔2012〕11号）第七十条</w:t>
            </w:r>
          </w:p>
        </w:tc>
        <w:tc>
          <w:tcPr>
            <w:tcW w:w="9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人力资源社会保障部门</w:t>
            </w:r>
          </w:p>
        </w:tc>
        <w:tc>
          <w:tcPr>
            <w:tcW w:w="893"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户籍所在地公安派出所、街道办事处、乡镇政府</w:t>
            </w:r>
          </w:p>
        </w:tc>
        <w:tc>
          <w:tcPr>
            <w:tcW w:w="774"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以告知承诺制方式办理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trPr>
        <w:tc>
          <w:tcPr>
            <w:tcW w:w="601" w:type="dxa"/>
            <w:vAlign w:val="center"/>
          </w:tcPr>
          <w:p>
            <w:pPr>
              <w:widowControl/>
              <w:wordWrap/>
              <w:adjustRightInd/>
              <w:snapToGrid/>
              <w:spacing w:line="200" w:lineRule="exact"/>
              <w:jc w:val="center"/>
              <w:textAlignment w:val="center"/>
              <w:rPr>
                <w:rFonts w:hint="default"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9</w:t>
            </w:r>
          </w:p>
        </w:tc>
        <w:tc>
          <w:tcPr>
            <w:tcW w:w="887"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孤儿、孤寡老人、完全丧失劳动能力的证明（无法通过部门间数据共享进行核验的）</w:t>
            </w:r>
          </w:p>
        </w:tc>
        <w:tc>
          <w:tcPr>
            <w:tcW w:w="10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供养亲属抚恤金申领（工伤保险服务）</w:t>
            </w:r>
          </w:p>
        </w:tc>
        <w:tc>
          <w:tcPr>
            <w:tcW w:w="23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《中华人民共和国社会保险法》（2018年12月29日修正）第三十八条</w:t>
            </w:r>
          </w:p>
        </w:tc>
        <w:tc>
          <w:tcPr>
            <w:tcW w:w="2218"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《工伤保险条例》（国务院令第586号）第三十九条、第四十一条   </w:t>
            </w:r>
          </w:p>
        </w:tc>
        <w:tc>
          <w:tcPr>
            <w:tcW w:w="207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p>
        </w:tc>
        <w:tc>
          <w:tcPr>
            <w:tcW w:w="2075"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《关于印发工伤保险经办规程的通知》（人社厅发〔2022〕24号）第七十三条</w:t>
            </w:r>
          </w:p>
        </w:tc>
        <w:tc>
          <w:tcPr>
            <w:tcW w:w="9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人力资源社会保障部门</w:t>
            </w:r>
          </w:p>
        </w:tc>
        <w:tc>
          <w:tcPr>
            <w:tcW w:w="893"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市、县民政部门、街道办事处、乡镇政府</w:t>
            </w:r>
          </w:p>
        </w:tc>
        <w:tc>
          <w:tcPr>
            <w:tcW w:w="774"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bookmarkStart w:id="0" w:name="_GoBack"/>
            <w:bookmarkEnd w:id="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7" w:hRule="atLeast"/>
        </w:trPr>
        <w:tc>
          <w:tcPr>
            <w:tcW w:w="601" w:type="dxa"/>
            <w:vAlign w:val="center"/>
          </w:tcPr>
          <w:p>
            <w:pPr>
              <w:widowControl/>
              <w:wordWrap/>
              <w:adjustRightInd/>
              <w:snapToGrid/>
              <w:spacing w:line="200" w:lineRule="exact"/>
              <w:jc w:val="center"/>
              <w:textAlignment w:val="center"/>
              <w:rPr>
                <w:rFonts w:hint="default"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10</w:t>
            </w:r>
          </w:p>
        </w:tc>
        <w:tc>
          <w:tcPr>
            <w:tcW w:w="887"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bidi="ar-SA"/>
              </w:rPr>
            </w:pPr>
            <w:r>
              <w:rPr>
                <w:rFonts w:hint="eastAsia" w:asciiTheme="minorEastAsia" w:hAnsiTheme="minorEastAsia" w:eastAsiaTheme="minorEastAsia" w:cstheme="minorEastAsia"/>
                <w:i w:val="0"/>
                <w:color w:val="auto"/>
                <w:kern w:val="0"/>
                <w:sz w:val="15"/>
                <w:szCs w:val="15"/>
                <w:highlight w:val="none"/>
                <w:u w:val="none"/>
                <w:lang w:val="en-US" w:eastAsia="zh-CN"/>
              </w:rPr>
              <w:t>死亡证明（无法通过数据比对核查的通过告知承诺制）</w:t>
            </w:r>
          </w:p>
        </w:tc>
        <w:tc>
          <w:tcPr>
            <w:tcW w:w="10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bidi="ar-SA"/>
              </w:rPr>
            </w:pPr>
            <w:r>
              <w:rPr>
                <w:rFonts w:hint="eastAsia" w:asciiTheme="minorEastAsia" w:hAnsiTheme="minorEastAsia" w:eastAsiaTheme="minorEastAsia" w:cstheme="minorEastAsia"/>
                <w:i w:val="0"/>
                <w:color w:val="auto"/>
                <w:kern w:val="0"/>
                <w:sz w:val="15"/>
                <w:szCs w:val="15"/>
                <w:highlight w:val="none"/>
                <w:u w:val="none"/>
                <w:lang w:val="en-US" w:eastAsia="zh-CN"/>
              </w:rPr>
              <w:t>失业保险丧葬补助金和抚恤金申领</w:t>
            </w:r>
          </w:p>
        </w:tc>
        <w:tc>
          <w:tcPr>
            <w:tcW w:w="23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bidi="ar-SA"/>
              </w:rPr>
            </w:pPr>
            <w:r>
              <w:rPr>
                <w:rFonts w:hint="eastAsia" w:asciiTheme="minorEastAsia" w:hAnsiTheme="minorEastAsia" w:eastAsiaTheme="minorEastAsia" w:cstheme="minorEastAsia"/>
                <w:i w:val="0"/>
                <w:color w:val="auto"/>
                <w:kern w:val="0"/>
                <w:sz w:val="15"/>
                <w:szCs w:val="15"/>
                <w:highlight w:val="none"/>
                <w:u w:val="none"/>
                <w:lang w:val="en-US" w:eastAsia="zh-CN"/>
              </w:rPr>
              <w:t>《中华人民共和国社会保险法》（2018年12月29日修正）第四十九条</w:t>
            </w:r>
          </w:p>
        </w:tc>
        <w:tc>
          <w:tcPr>
            <w:tcW w:w="2218"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bidi="ar-SA"/>
              </w:rPr>
            </w:pPr>
            <w:r>
              <w:rPr>
                <w:rFonts w:hint="eastAsia" w:asciiTheme="minorEastAsia" w:hAnsiTheme="minorEastAsia" w:eastAsiaTheme="minorEastAsia" w:cstheme="minorEastAsia"/>
                <w:i w:val="0"/>
                <w:color w:val="auto"/>
                <w:kern w:val="0"/>
                <w:sz w:val="15"/>
                <w:szCs w:val="15"/>
                <w:highlight w:val="none"/>
                <w:u w:val="none"/>
                <w:lang w:val="en-US" w:eastAsia="zh-CN"/>
              </w:rPr>
              <w:t>《失业保险条例》（中华人民共和国国务院令第258号）第十条</w:t>
            </w:r>
          </w:p>
        </w:tc>
        <w:tc>
          <w:tcPr>
            <w:tcW w:w="207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bidi="ar-SA"/>
              </w:rPr>
            </w:pPr>
          </w:p>
        </w:tc>
        <w:tc>
          <w:tcPr>
            <w:tcW w:w="2075"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bidi="ar-SA"/>
              </w:rPr>
            </w:pPr>
            <w:r>
              <w:rPr>
                <w:rFonts w:hint="eastAsia" w:asciiTheme="minorEastAsia" w:hAnsiTheme="minorEastAsia" w:eastAsiaTheme="minorEastAsia" w:cstheme="minorEastAsia"/>
                <w:i w:val="0"/>
                <w:color w:val="auto"/>
                <w:kern w:val="0"/>
                <w:sz w:val="15"/>
                <w:szCs w:val="15"/>
                <w:highlight w:val="none"/>
                <w:u w:val="none"/>
                <w:lang w:val="en-US" w:eastAsia="zh-CN"/>
              </w:rPr>
              <w:t>《失业保险金申领发放办法》（劳动和社会保障部令第8号，2019年12月9日第二次修订）第十条</w:t>
            </w:r>
          </w:p>
        </w:tc>
        <w:tc>
          <w:tcPr>
            <w:tcW w:w="9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bidi="ar-SA"/>
              </w:rPr>
            </w:pPr>
            <w:r>
              <w:rPr>
                <w:rFonts w:hint="eastAsia" w:asciiTheme="minorEastAsia" w:hAnsiTheme="minorEastAsia" w:eastAsiaTheme="minorEastAsia" w:cstheme="minorEastAsia"/>
                <w:i w:val="0"/>
                <w:color w:val="auto"/>
                <w:kern w:val="0"/>
                <w:sz w:val="15"/>
                <w:szCs w:val="15"/>
                <w:highlight w:val="none"/>
                <w:u w:val="none"/>
                <w:lang w:val="en-US" w:eastAsia="zh-CN"/>
              </w:rPr>
              <w:t>人力资源社会保障部门</w:t>
            </w:r>
          </w:p>
        </w:tc>
        <w:tc>
          <w:tcPr>
            <w:tcW w:w="893"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bidi="ar-SA"/>
              </w:rPr>
            </w:pPr>
            <w:r>
              <w:rPr>
                <w:rFonts w:hint="eastAsia" w:asciiTheme="minorEastAsia" w:hAnsiTheme="minorEastAsia" w:eastAsiaTheme="minorEastAsia" w:cstheme="minorEastAsia"/>
                <w:i w:val="0"/>
                <w:color w:val="auto"/>
                <w:kern w:val="0"/>
                <w:sz w:val="15"/>
                <w:szCs w:val="15"/>
                <w:highlight w:val="none"/>
                <w:u w:val="none"/>
                <w:lang w:val="en-US" w:eastAsia="zh-CN"/>
              </w:rPr>
              <w:t>医疗机构、公安部门、人民法院</w:t>
            </w:r>
          </w:p>
        </w:tc>
        <w:tc>
          <w:tcPr>
            <w:tcW w:w="774"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bidi="ar-SA"/>
              </w:rPr>
            </w:pPr>
            <w:r>
              <w:rPr>
                <w:rFonts w:hint="eastAsia" w:asciiTheme="minorEastAsia" w:hAnsiTheme="minorEastAsia" w:eastAsiaTheme="minorEastAsia" w:cstheme="minorEastAsia"/>
                <w:i w:val="0"/>
                <w:color w:val="auto"/>
                <w:kern w:val="0"/>
                <w:sz w:val="15"/>
                <w:szCs w:val="15"/>
                <w:highlight w:val="none"/>
                <w:u w:val="none"/>
                <w:lang w:val="en-US" w:eastAsia="zh-CN"/>
              </w:rPr>
              <w:t>以告知承诺制方式办理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7" w:hRule="atLeast"/>
        </w:trPr>
        <w:tc>
          <w:tcPr>
            <w:tcW w:w="601" w:type="dxa"/>
            <w:vAlign w:val="center"/>
          </w:tcPr>
          <w:p>
            <w:pPr>
              <w:widowControl/>
              <w:wordWrap/>
              <w:adjustRightInd/>
              <w:snapToGrid/>
              <w:spacing w:line="200" w:lineRule="exact"/>
              <w:jc w:val="center"/>
              <w:textAlignment w:val="center"/>
              <w:rPr>
                <w:rFonts w:hint="default"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11</w:t>
            </w:r>
          </w:p>
        </w:tc>
        <w:tc>
          <w:tcPr>
            <w:tcW w:w="887"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死亡证明（无法通过数据比对核查的通过告知承诺制）</w:t>
            </w:r>
          </w:p>
        </w:tc>
        <w:tc>
          <w:tcPr>
            <w:tcW w:w="10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申领一次性工亡补助金（含生活困难，预支50%确认）、丧葬补助金申领</w:t>
            </w:r>
          </w:p>
        </w:tc>
        <w:tc>
          <w:tcPr>
            <w:tcW w:w="23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《中华人民共和国社会保险法》（2018年12月29日修正）第三十八条</w:t>
            </w:r>
          </w:p>
        </w:tc>
        <w:tc>
          <w:tcPr>
            <w:tcW w:w="2218"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《工伤保险条例》（中华人民共和国国务院令第586号）第三十九条、第四十一条</w:t>
            </w:r>
          </w:p>
        </w:tc>
        <w:tc>
          <w:tcPr>
            <w:tcW w:w="207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p>
        </w:tc>
        <w:tc>
          <w:tcPr>
            <w:tcW w:w="2075"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《关于印发工伤保险经办规程的通知》（人社厅发〔2022〕24号）第七十二条</w:t>
            </w:r>
          </w:p>
        </w:tc>
        <w:tc>
          <w:tcPr>
            <w:tcW w:w="9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人力资源社会保障部门</w:t>
            </w:r>
          </w:p>
        </w:tc>
        <w:tc>
          <w:tcPr>
            <w:tcW w:w="893"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人民法院、公安机关、医疗机构</w:t>
            </w:r>
          </w:p>
        </w:tc>
        <w:tc>
          <w:tcPr>
            <w:tcW w:w="774"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以告知承诺制方式办理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601" w:type="dxa"/>
            <w:vAlign w:val="center"/>
          </w:tcPr>
          <w:p>
            <w:pPr>
              <w:widowControl/>
              <w:wordWrap/>
              <w:adjustRightInd/>
              <w:snapToGrid/>
              <w:spacing w:line="200" w:lineRule="exact"/>
              <w:jc w:val="center"/>
              <w:textAlignment w:val="center"/>
              <w:rPr>
                <w:rFonts w:hint="default" w:asciiTheme="minorEastAsia" w:hAnsiTheme="minorEastAsia" w:eastAsiaTheme="minorEastAsia" w:cstheme="minorEastAsia"/>
                <w:color w:val="auto"/>
                <w:kern w:val="0"/>
                <w:sz w:val="15"/>
                <w:szCs w:val="15"/>
                <w:highlight w:val="none"/>
                <w:u w:val="none"/>
                <w:lang w:val="en-US" w:eastAsia="zh-CN"/>
              </w:rPr>
            </w:pPr>
            <w:r>
              <w:rPr>
                <w:rFonts w:hint="eastAsia" w:asciiTheme="minorEastAsia" w:hAnsiTheme="minorEastAsia" w:eastAsiaTheme="minorEastAsia" w:cstheme="minorEastAsia"/>
                <w:color w:val="auto"/>
                <w:kern w:val="0"/>
                <w:sz w:val="15"/>
                <w:szCs w:val="15"/>
                <w:highlight w:val="none"/>
                <w:u w:val="none"/>
                <w:lang w:val="en-US" w:eastAsia="zh-CN"/>
              </w:rPr>
              <w:t>12</w:t>
            </w:r>
          </w:p>
        </w:tc>
        <w:tc>
          <w:tcPr>
            <w:tcW w:w="887"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color w:val="auto"/>
                <w:kern w:val="0"/>
                <w:sz w:val="15"/>
                <w:szCs w:val="15"/>
                <w:highlight w:val="none"/>
                <w:u w:val="none"/>
                <w:lang w:val="en-US" w:eastAsia="zh-CN" w:bidi="ar-SA"/>
              </w:rPr>
            </w:pPr>
            <w:r>
              <w:rPr>
                <w:rFonts w:hint="eastAsia" w:asciiTheme="minorEastAsia" w:hAnsiTheme="minorEastAsia" w:eastAsiaTheme="minorEastAsia" w:cstheme="minorEastAsia"/>
                <w:i w:val="0"/>
                <w:color w:val="auto"/>
                <w:kern w:val="0"/>
                <w:sz w:val="15"/>
                <w:szCs w:val="15"/>
                <w:highlight w:val="none"/>
                <w:u w:val="none"/>
                <w:lang w:val="en-US" w:eastAsia="zh-CN"/>
              </w:rPr>
              <w:t>终止或者解除劳动关系的证明</w:t>
            </w:r>
          </w:p>
        </w:tc>
        <w:tc>
          <w:tcPr>
            <w:tcW w:w="10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color w:val="auto"/>
                <w:kern w:val="0"/>
                <w:sz w:val="15"/>
                <w:szCs w:val="15"/>
                <w:highlight w:val="none"/>
                <w:u w:val="none"/>
                <w:lang w:val="en-US" w:eastAsia="zh-CN" w:bidi="ar-SA"/>
              </w:rPr>
            </w:pPr>
            <w:r>
              <w:rPr>
                <w:rFonts w:hint="eastAsia" w:asciiTheme="minorEastAsia" w:hAnsiTheme="minorEastAsia" w:eastAsiaTheme="minorEastAsia" w:cstheme="minorEastAsia"/>
                <w:i w:val="0"/>
                <w:color w:val="auto"/>
                <w:kern w:val="0"/>
                <w:sz w:val="15"/>
                <w:szCs w:val="15"/>
                <w:highlight w:val="none"/>
                <w:u w:val="none"/>
                <w:lang w:val="en-US" w:eastAsia="zh-CN"/>
              </w:rPr>
              <w:t>失业登记</w:t>
            </w:r>
          </w:p>
        </w:tc>
        <w:tc>
          <w:tcPr>
            <w:tcW w:w="23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color w:val="auto"/>
                <w:kern w:val="0"/>
                <w:sz w:val="15"/>
                <w:szCs w:val="15"/>
                <w:highlight w:val="none"/>
                <w:u w:val="none"/>
                <w:lang w:val="en-US" w:eastAsia="zh-CN" w:bidi="ar-SA"/>
              </w:rPr>
            </w:pPr>
            <w:r>
              <w:rPr>
                <w:rFonts w:hint="eastAsia" w:asciiTheme="minorEastAsia" w:hAnsiTheme="minorEastAsia" w:eastAsiaTheme="minorEastAsia" w:cstheme="minorEastAsia"/>
                <w:i w:val="0"/>
                <w:color w:val="auto"/>
                <w:kern w:val="0"/>
                <w:sz w:val="15"/>
                <w:szCs w:val="15"/>
                <w:highlight w:val="none"/>
                <w:u w:val="none"/>
                <w:lang w:val="en-US" w:eastAsia="zh-CN"/>
              </w:rPr>
              <w:t>《中华人民共和国社会保险法》（2018年12月29日修正）第五十条</w:t>
            </w:r>
          </w:p>
        </w:tc>
        <w:tc>
          <w:tcPr>
            <w:tcW w:w="2218" w:type="dxa"/>
            <w:vAlign w:val="center"/>
          </w:tcPr>
          <w:p>
            <w:pPr>
              <w:wordWrap/>
              <w:adjustRightInd/>
              <w:snapToGrid/>
              <w:spacing w:line="200" w:lineRule="exact"/>
              <w:jc w:val="both"/>
              <w:rPr>
                <w:rFonts w:hint="eastAsia" w:asciiTheme="minorEastAsia" w:hAnsiTheme="minorEastAsia" w:eastAsiaTheme="minorEastAsia" w:cstheme="minorEastAsia"/>
                <w:color w:val="auto"/>
                <w:kern w:val="0"/>
                <w:sz w:val="15"/>
                <w:szCs w:val="15"/>
                <w:highlight w:val="none"/>
                <w:u w:val="none"/>
                <w:lang w:val="en-US" w:eastAsia="zh-CN" w:bidi="ar-SA"/>
              </w:rPr>
            </w:pPr>
          </w:p>
        </w:tc>
        <w:tc>
          <w:tcPr>
            <w:tcW w:w="2070" w:type="dxa"/>
            <w:vAlign w:val="center"/>
          </w:tcPr>
          <w:p>
            <w:pPr>
              <w:wordWrap/>
              <w:adjustRightInd/>
              <w:snapToGrid/>
              <w:spacing w:line="200" w:lineRule="exact"/>
              <w:jc w:val="both"/>
              <w:rPr>
                <w:rFonts w:hint="eastAsia" w:asciiTheme="minorEastAsia" w:hAnsiTheme="minorEastAsia" w:eastAsiaTheme="minorEastAsia" w:cstheme="minorEastAsia"/>
                <w:color w:val="auto"/>
                <w:kern w:val="0"/>
                <w:sz w:val="15"/>
                <w:szCs w:val="15"/>
                <w:highlight w:val="none"/>
                <w:u w:val="none"/>
                <w:lang w:val="en-US" w:eastAsia="zh-CN" w:bidi="ar-SA"/>
              </w:rPr>
            </w:pPr>
          </w:p>
        </w:tc>
        <w:tc>
          <w:tcPr>
            <w:tcW w:w="2075" w:type="dxa"/>
            <w:vAlign w:val="center"/>
          </w:tcPr>
          <w:p>
            <w:pPr>
              <w:wordWrap/>
              <w:adjustRightInd/>
              <w:snapToGrid/>
              <w:spacing w:line="200" w:lineRule="exact"/>
              <w:jc w:val="both"/>
              <w:rPr>
                <w:rFonts w:hint="eastAsia" w:asciiTheme="minorEastAsia" w:hAnsiTheme="minorEastAsia" w:eastAsiaTheme="minorEastAsia" w:cstheme="minorEastAsia"/>
                <w:color w:val="auto"/>
                <w:kern w:val="0"/>
                <w:sz w:val="15"/>
                <w:szCs w:val="15"/>
                <w:highlight w:val="none"/>
                <w:u w:val="none"/>
                <w:lang w:val="en-US" w:eastAsia="zh-CN" w:bidi="ar-SA"/>
              </w:rPr>
            </w:pPr>
          </w:p>
        </w:tc>
        <w:tc>
          <w:tcPr>
            <w:tcW w:w="9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color w:val="auto"/>
                <w:kern w:val="0"/>
                <w:sz w:val="15"/>
                <w:szCs w:val="15"/>
                <w:highlight w:val="none"/>
                <w:u w:val="none"/>
                <w:lang w:val="en-US" w:eastAsia="zh-CN" w:bidi="ar-SA"/>
              </w:rPr>
            </w:pPr>
            <w:r>
              <w:rPr>
                <w:rFonts w:hint="eastAsia" w:asciiTheme="minorEastAsia" w:hAnsiTheme="minorEastAsia" w:eastAsiaTheme="minorEastAsia" w:cstheme="minorEastAsia"/>
                <w:i w:val="0"/>
                <w:color w:val="auto"/>
                <w:kern w:val="0"/>
                <w:sz w:val="15"/>
                <w:szCs w:val="15"/>
                <w:highlight w:val="none"/>
                <w:u w:val="none"/>
                <w:lang w:val="en-US" w:eastAsia="zh-CN"/>
              </w:rPr>
              <w:t>市、县人力资源社会保障部门</w:t>
            </w:r>
          </w:p>
        </w:tc>
        <w:tc>
          <w:tcPr>
            <w:tcW w:w="893"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bidi="ar-SA"/>
              </w:rPr>
            </w:pPr>
            <w:r>
              <w:rPr>
                <w:rFonts w:hint="eastAsia" w:asciiTheme="minorEastAsia" w:hAnsiTheme="minorEastAsia" w:eastAsiaTheme="minorEastAsia" w:cstheme="minorEastAsia"/>
                <w:i w:val="0"/>
                <w:color w:val="auto"/>
                <w:kern w:val="0"/>
                <w:sz w:val="15"/>
                <w:szCs w:val="15"/>
                <w:highlight w:val="none"/>
                <w:u w:val="none"/>
                <w:lang w:val="en-US" w:eastAsia="zh-CN"/>
              </w:rPr>
              <w:t>原用人单位</w:t>
            </w:r>
          </w:p>
        </w:tc>
        <w:tc>
          <w:tcPr>
            <w:tcW w:w="774"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bidi="ar-SA"/>
              </w:rPr>
            </w:pPr>
            <w:r>
              <w:rPr>
                <w:rFonts w:hint="eastAsia" w:asciiTheme="minorEastAsia" w:hAnsiTheme="minorEastAsia" w:eastAsiaTheme="minorEastAsia" w:cstheme="minorEastAsia"/>
                <w:i w:val="0"/>
                <w:color w:val="auto"/>
                <w:kern w:val="0"/>
                <w:sz w:val="15"/>
                <w:szCs w:val="15"/>
                <w:highlight w:val="none"/>
                <w:u w:val="none"/>
                <w:lang w:val="en-US" w:eastAsia="zh-CN"/>
              </w:rPr>
              <w:t>以告知承诺方式办理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601" w:type="dxa"/>
            <w:vAlign w:val="center"/>
          </w:tcPr>
          <w:p>
            <w:pPr>
              <w:widowControl/>
              <w:wordWrap/>
              <w:adjustRightInd/>
              <w:snapToGrid/>
              <w:spacing w:line="200" w:lineRule="exact"/>
              <w:jc w:val="center"/>
              <w:textAlignment w:val="center"/>
              <w:rPr>
                <w:rFonts w:hint="default" w:asciiTheme="minorEastAsia" w:hAnsiTheme="minorEastAsia" w:eastAsiaTheme="minorEastAsia" w:cstheme="minorEastAsia"/>
                <w:color w:val="auto"/>
                <w:kern w:val="0"/>
                <w:sz w:val="15"/>
                <w:szCs w:val="15"/>
                <w:highlight w:val="none"/>
                <w:u w:val="none"/>
                <w:lang w:val="en-US" w:eastAsia="zh-CN"/>
              </w:rPr>
            </w:pPr>
            <w:r>
              <w:rPr>
                <w:rFonts w:hint="eastAsia" w:asciiTheme="minorEastAsia" w:hAnsiTheme="minorEastAsia" w:eastAsiaTheme="minorEastAsia" w:cstheme="minorEastAsia"/>
                <w:color w:val="auto"/>
                <w:kern w:val="0"/>
                <w:sz w:val="15"/>
                <w:szCs w:val="15"/>
                <w:highlight w:val="none"/>
                <w:u w:val="none"/>
                <w:lang w:val="en-US" w:eastAsia="zh-CN"/>
              </w:rPr>
              <w:t>13</w:t>
            </w:r>
          </w:p>
        </w:tc>
        <w:tc>
          <w:tcPr>
            <w:tcW w:w="887"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死亡证明</w:t>
            </w:r>
          </w:p>
        </w:tc>
        <w:tc>
          <w:tcPr>
            <w:tcW w:w="10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申请工伤认定</w:t>
            </w:r>
          </w:p>
        </w:tc>
        <w:tc>
          <w:tcPr>
            <w:tcW w:w="23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《中华人民共和国社会保险法》（2018年12月29日修正）第三十六条</w:t>
            </w:r>
          </w:p>
        </w:tc>
        <w:tc>
          <w:tcPr>
            <w:tcW w:w="2218"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《工伤保险条例》（国务院令第586号）第十五条</w:t>
            </w:r>
          </w:p>
        </w:tc>
        <w:tc>
          <w:tcPr>
            <w:tcW w:w="207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p>
        </w:tc>
        <w:tc>
          <w:tcPr>
            <w:tcW w:w="2075"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p>
        </w:tc>
        <w:tc>
          <w:tcPr>
            <w:tcW w:w="9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市人力资源社会保障部门</w:t>
            </w:r>
          </w:p>
        </w:tc>
        <w:tc>
          <w:tcPr>
            <w:tcW w:w="893"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人民法院、公安机关、医疗机构</w:t>
            </w:r>
          </w:p>
        </w:tc>
        <w:tc>
          <w:tcPr>
            <w:tcW w:w="774"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p>
        </w:tc>
      </w:tr>
    </w:tbl>
    <w:p/>
    <w:sectPr>
      <w:headerReference r:id="rId3" w:type="default"/>
      <w:footerReference r:id="rId4" w:type="default"/>
      <w:pgSz w:w="16838" w:h="11906" w:orient="landscape"/>
      <w:pgMar w:top="1588" w:right="1928" w:bottom="1474" w:left="1814" w:header="851" w:footer="1531" w:gutter="0"/>
      <w:cols w:space="425" w:num="1"/>
      <w:docGrid w:type="linesAndChars" w:linePitch="595"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
    <w:panose1 w:val="02010609060101010101"/>
    <w:charset w:val="86"/>
    <w:family w:val="auto"/>
    <w:pitch w:val="default"/>
    <w:sig w:usb0="800002BF" w:usb1="38CF7CFA" w:usb2="00000016" w:usb3="00000000" w:csb0="00040001" w:csb1="00000000"/>
  </w:font>
  <w:font w:name="小标宋">
    <w:altName w:val="方正小标宋简体"/>
    <w:panose1 w:val="00000000000000000000"/>
    <w:charset w:val="86"/>
    <w:family w:val="script"/>
    <w:pitch w:val="default"/>
    <w:sig w:usb0="00000000" w:usb1="00000000" w:usb2="00000010" w:usb3="00000000" w:csb0="00040000" w:csb1="00000000"/>
  </w:font>
  <w:font w:name="方正仿宋简体">
    <w:altName w:val="方正仿宋_GBK"/>
    <w:panose1 w:val="02010601030101010101"/>
    <w:charset w:val="86"/>
    <w:family w:val="auto"/>
    <w:pitch w:val="default"/>
    <w:sig w:usb0="00000000" w:usb1="00000000" w:usb2="0000001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书宋_GBK">
    <w:panose1 w:val="02000000000000000000"/>
    <w:charset w:val="86"/>
    <w:family w:val="auto"/>
    <w:pitch w:val="default"/>
    <w:sig w:usb0="A00002BF" w:usb1="38CF7CFA" w:usb2="00082016" w:usb3="00000000" w:csb0="00040001" w:csb1="00000000"/>
  </w:font>
  <w:font w:name="Nimbus Roman No9 L">
    <w:panose1 w:val="00000000000000000000"/>
    <w:charset w:val="00"/>
    <w:family w:val="auto"/>
    <w:pitch w:val="default"/>
    <w:sig w:usb0="00000000" w:usb1="00000000" w:usb2="00000000" w:usb3="00000000" w:csb0="00000000" w:csb1="0000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mirrorMargins w:val="true"/>
  <w:bordersDoNotSurroundHeader w:val="false"/>
  <w:bordersDoNotSurroundFooter w:val="false"/>
  <w:attachedTemplate r:id="rId1"/>
  <w:documentProtection w:enforcement="0"/>
  <w:defaultTabStop w:val="420"/>
  <w:drawingGridHorizontalSpacing w:val="158"/>
  <w:drawingGridVerticalSpacing w:val="595"/>
  <w:displayHorizontalDrawingGridEvery w:val="1"/>
  <w:displayVerticalDrawingGridEvery w:val="1"/>
  <w:noPunctuationKerning w:val="true"/>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doNotUseIndentAsNumberingTabStop/>
    <w:useAltKinsokuLineBreakRules/>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6C591B"/>
    <w:rsid w:val="000169A0"/>
    <w:rsid w:val="00023F77"/>
    <w:rsid w:val="00024431"/>
    <w:rsid w:val="00057B07"/>
    <w:rsid w:val="00074D3B"/>
    <w:rsid w:val="000811F5"/>
    <w:rsid w:val="00095A31"/>
    <w:rsid w:val="000B4430"/>
    <w:rsid w:val="000C4D3D"/>
    <w:rsid w:val="000E5B6E"/>
    <w:rsid w:val="00103867"/>
    <w:rsid w:val="00106E10"/>
    <w:rsid w:val="00106FB6"/>
    <w:rsid w:val="00114A7F"/>
    <w:rsid w:val="001379FE"/>
    <w:rsid w:val="00142BA2"/>
    <w:rsid w:val="00153D1A"/>
    <w:rsid w:val="001772F3"/>
    <w:rsid w:val="0019493D"/>
    <w:rsid w:val="001C08C6"/>
    <w:rsid w:val="001C0AF5"/>
    <w:rsid w:val="001E289F"/>
    <w:rsid w:val="001E313A"/>
    <w:rsid w:val="0020568D"/>
    <w:rsid w:val="00213774"/>
    <w:rsid w:val="0022257C"/>
    <w:rsid w:val="002532EB"/>
    <w:rsid w:val="00283178"/>
    <w:rsid w:val="00291721"/>
    <w:rsid w:val="002C4A49"/>
    <w:rsid w:val="002E4AE5"/>
    <w:rsid w:val="00307089"/>
    <w:rsid w:val="00345B67"/>
    <w:rsid w:val="0036046B"/>
    <w:rsid w:val="003A2189"/>
    <w:rsid w:val="003A28B2"/>
    <w:rsid w:val="003C08E9"/>
    <w:rsid w:val="003C485B"/>
    <w:rsid w:val="003D6247"/>
    <w:rsid w:val="003D6445"/>
    <w:rsid w:val="003E5E3B"/>
    <w:rsid w:val="003F76C4"/>
    <w:rsid w:val="00403BC0"/>
    <w:rsid w:val="00411B8B"/>
    <w:rsid w:val="00413902"/>
    <w:rsid w:val="004301FD"/>
    <w:rsid w:val="00476A55"/>
    <w:rsid w:val="00477B88"/>
    <w:rsid w:val="00481B9B"/>
    <w:rsid w:val="004A0018"/>
    <w:rsid w:val="004B06A1"/>
    <w:rsid w:val="004B7B88"/>
    <w:rsid w:val="004C16E6"/>
    <w:rsid w:val="004C2140"/>
    <w:rsid w:val="004C2436"/>
    <w:rsid w:val="004D0BAD"/>
    <w:rsid w:val="004F5424"/>
    <w:rsid w:val="005051DF"/>
    <w:rsid w:val="0054409C"/>
    <w:rsid w:val="005B0EF3"/>
    <w:rsid w:val="005F53B2"/>
    <w:rsid w:val="005F7731"/>
    <w:rsid w:val="00612DC1"/>
    <w:rsid w:val="0067018E"/>
    <w:rsid w:val="006938DB"/>
    <w:rsid w:val="006956FD"/>
    <w:rsid w:val="006A1FE8"/>
    <w:rsid w:val="006B51AB"/>
    <w:rsid w:val="006B5535"/>
    <w:rsid w:val="006E325F"/>
    <w:rsid w:val="00720828"/>
    <w:rsid w:val="00746606"/>
    <w:rsid w:val="0075437B"/>
    <w:rsid w:val="007635BF"/>
    <w:rsid w:val="00765034"/>
    <w:rsid w:val="00796F6A"/>
    <w:rsid w:val="007A0FEC"/>
    <w:rsid w:val="007E1492"/>
    <w:rsid w:val="007F7647"/>
    <w:rsid w:val="00845F5A"/>
    <w:rsid w:val="00865168"/>
    <w:rsid w:val="008676E9"/>
    <w:rsid w:val="00871548"/>
    <w:rsid w:val="008D17CA"/>
    <w:rsid w:val="008E5A99"/>
    <w:rsid w:val="008F0552"/>
    <w:rsid w:val="008F0D49"/>
    <w:rsid w:val="008F5124"/>
    <w:rsid w:val="00946383"/>
    <w:rsid w:val="0094799A"/>
    <w:rsid w:val="00984CEB"/>
    <w:rsid w:val="00997A51"/>
    <w:rsid w:val="009E07ED"/>
    <w:rsid w:val="00A3468F"/>
    <w:rsid w:val="00A51890"/>
    <w:rsid w:val="00A53183"/>
    <w:rsid w:val="00A55D19"/>
    <w:rsid w:val="00A842BD"/>
    <w:rsid w:val="00A90335"/>
    <w:rsid w:val="00AA3962"/>
    <w:rsid w:val="00AB3D14"/>
    <w:rsid w:val="00AE5332"/>
    <w:rsid w:val="00AF4FF6"/>
    <w:rsid w:val="00B32032"/>
    <w:rsid w:val="00B81943"/>
    <w:rsid w:val="00B861FD"/>
    <w:rsid w:val="00BB2ABC"/>
    <w:rsid w:val="00C12F1A"/>
    <w:rsid w:val="00C132BC"/>
    <w:rsid w:val="00C15BD8"/>
    <w:rsid w:val="00C7192A"/>
    <w:rsid w:val="00C80F63"/>
    <w:rsid w:val="00C973ED"/>
    <w:rsid w:val="00CD1DEB"/>
    <w:rsid w:val="00CE60EE"/>
    <w:rsid w:val="00CF74ED"/>
    <w:rsid w:val="00D16CB7"/>
    <w:rsid w:val="00D24E37"/>
    <w:rsid w:val="00D33985"/>
    <w:rsid w:val="00D3434A"/>
    <w:rsid w:val="00D64F6B"/>
    <w:rsid w:val="00D73151"/>
    <w:rsid w:val="00DB26A4"/>
    <w:rsid w:val="00DC5E34"/>
    <w:rsid w:val="00DE3E36"/>
    <w:rsid w:val="00E23C05"/>
    <w:rsid w:val="00E24B91"/>
    <w:rsid w:val="00E311CF"/>
    <w:rsid w:val="00E4313B"/>
    <w:rsid w:val="00E529DC"/>
    <w:rsid w:val="00E569A4"/>
    <w:rsid w:val="00EB0534"/>
    <w:rsid w:val="00EB20B2"/>
    <w:rsid w:val="00EB43B8"/>
    <w:rsid w:val="00F365D5"/>
    <w:rsid w:val="00F4346F"/>
    <w:rsid w:val="00F66F37"/>
    <w:rsid w:val="00F81B5D"/>
    <w:rsid w:val="00FA720E"/>
    <w:rsid w:val="00FB0B32"/>
    <w:rsid w:val="00FE6B72"/>
    <w:rsid w:val="00FF0236"/>
    <w:rsid w:val="00FF2607"/>
    <w:rsid w:val="04EF5C88"/>
    <w:rsid w:val="05E9105E"/>
    <w:rsid w:val="080C64B4"/>
    <w:rsid w:val="08203297"/>
    <w:rsid w:val="0BEFF140"/>
    <w:rsid w:val="0BF32CB5"/>
    <w:rsid w:val="0F6B5369"/>
    <w:rsid w:val="0FFBD8E0"/>
    <w:rsid w:val="0FFF36F2"/>
    <w:rsid w:val="117E0DBA"/>
    <w:rsid w:val="13EB8238"/>
    <w:rsid w:val="1575E6A8"/>
    <w:rsid w:val="165962C7"/>
    <w:rsid w:val="175D2949"/>
    <w:rsid w:val="1B7FFA67"/>
    <w:rsid w:val="1C2746DE"/>
    <w:rsid w:val="1CB26237"/>
    <w:rsid w:val="1D744AD6"/>
    <w:rsid w:val="1EF766AC"/>
    <w:rsid w:val="1FBAF0F3"/>
    <w:rsid w:val="1FBFBE00"/>
    <w:rsid w:val="1FD70A0E"/>
    <w:rsid w:val="1FF96EC4"/>
    <w:rsid w:val="21C6015F"/>
    <w:rsid w:val="270E567A"/>
    <w:rsid w:val="277FA02B"/>
    <w:rsid w:val="27D8954B"/>
    <w:rsid w:val="27FFCC03"/>
    <w:rsid w:val="29574639"/>
    <w:rsid w:val="2BFE4794"/>
    <w:rsid w:val="2D8016E0"/>
    <w:rsid w:val="2DA04A51"/>
    <w:rsid w:val="2DB74C76"/>
    <w:rsid w:val="2DFFECC6"/>
    <w:rsid w:val="2E27F0FB"/>
    <w:rsid w:val="2E7D6152"/>
    <w:rsid w:val="2F4074EF"/>
    <w:rsid w:val="2FF74CF9"/>
    <w:rsid w:val="2FFD5DC3"/>
    <w:rsid w:val="326AF087"/>
    <w:rsid w:val="34B41C7B"/>
    <w:rsid w:val="34D45CCC"/>
    <w:rsid w:val="35CD9C55"/>
    <w:rsid w:val="36F51D5B"/>
    <w:rsid w:val="3701572F"/>
    <w:rsid w:val="377D66D6"/>
    <w:rsid w:val="37FD8C9A"/>
    <w:rsid w:val="38EE192A"/>
    <w:rsid w:val="392C0055"/>
    <w:rsid w:val="398E0AC6"/>
    <w:rsid w:val="3A7F09DC"/>
    <w:rsid w:val="3AFABD4F"/>
    <w:rsid w:val="3B8E8376"/>
    <w:rsid w:val="3C540242"/>
    <w:rsid w:val="3DB39655"/>
    <w:rsid w:val="3DDF323A"/>
    <w:rsid w:val="3DE96B72"/>
    <w:rsid w:val="3DEA649B"/>
    <w:rsid w:val="3DEFC302"/>
    <w:rsid w:val="3DF9C6FA"/>
    <w:rsid w:val="3DFE4130"/>
    <w:rsid w:val="3EDBE932"/>
    <w:rsid w:val="3F77230C"/>
    <w:rsid w:val="3FE6E33B"/>
    <w:rsid w:val="3FE7571F"/>
    <w:rsid w:val="3FEAB222"/>
    <w:rsid w:val="3FFFA7C1"/>
    <w:rsid w:val="3FFFAFC5"/>
    <w:rsid w:val="3FFFF512"/>
    <w:rsid w:val="410A4337"/>
    <w:rsid w:val="412D656B"/>
    <w:rsid w:val="414E1CF3"/>
    <w:rsid w:val="425A5C23"/>
    <w:rsid w:val="457C0941"/>
    <w:rsid w:val="45B576A1"/>
    <w:rsid w:val="478A7E86"/>
    <w:rsid w:val="478C0393"/>
    <w:rsid w:val="48AC20FC"/>
    <w:rsid w:val="4A567B06"/>
    <w:rsid w:val="4CFF026A"/>
    <w:rsid w:val="4FBE9885"/>
    <w:rsid w:val="4FEF4903"/>
    <w:rsid w:val="55768C19"/>
    <w:rsid w:val="55BEE254"/>
    <w:rsid w:val="576C591B"/>
    <w:rsid w:val="57AD8508"/>
    <w:rsid w:val="57EF2CE9"/>
    <w:rsid w:val="57FF0269"/>
    <w:rsid w:val="57FF2C53"/>
    <w:rsid w:val="584DFD0B"/>
    <w:rsid w:val="594516D5"/>
    <w:rsid w:val="59F97DB6"/>
    <w:rsid w:val="5A659B09"/>
    <w:rsid w:val="5AFF9F77"/>
    <w:rsid w:val="5B2F4DD8"/>
    <w:rsid w:val="5BC71D50"/>
    <w:rsid w:val="5BD85BE8"/>
    <w:rsid w:val="5BDFF9EA"/>
    <w:rsid w:val="5BF0DD71"/>
    <w:rsid w:val="5BFB8D98"/>
    <w:rsid w:val="5C7DFFD3"/>
    <w:rsid w:val="5D7BC18C"/>
    <w:rsid w:val="5DCFAD54"/>
    <w:rsid w:val="5E236A19"/>
    <w:rsid w:val="5EA64C20"/>
    <w:rsid w:val="5EEF70D8"/>
    <w:rsid w:val="5F351F9E"/>
    <w:rsid w:val="5F4909C6"/>
    <w:rsid w:val="5F7F7279"/>
    <w:rsid w:val="5FAE07E5"/>
    <w:rsid w:val="5FBB99D9"/>
    <w:rsid w:val="5FD7A4C8"/>
    <w:rsid w:val="5FDF51F8"/>
    <w:rsid w:val="5FE36803"/>
    <w:rsid w:val="62F565E3"/>
    <w:rsid w:val="634B1904"/>
    <w:rsid w:val="63A018E5"/>
    <w:rsid w:val="654562D5"/>
    <w:rsid w:val="65E3AC16"/>
    <w:rsid w:val="65F74A05"/>
    <w:rsid w:val="65FF43AC"/>
    <w:rsid w:val="66EF252E"/>
    <w:rsid w:val="66FAF9D3"/>
    <w:rsid w:val="66FBD840"/>
    <w:rsid w:val="69DE6F9C"/>
    <w:rsid w:val="69FFB6A5"/>
    <w:rsid w:val="6A446721"/>
    <w:rsid w:val="6A5EFD8C"/>
    <w:rsid w:val="6BCBEE29"/>
    <w:rsid w:val="6BD9A415"/>
    <w:rsid w:val="6BF173B3"/>
    <w:rsid w:val="6BF3C6CE"/>
    <w:rsid w:val="6BFCBC5B"/>
    <w:rsid w:val="6C09790C"/>
    <w:rsid w:val="6D0700AD"/>
    <w:rsid w:val="6D5545A7"/>
    <w:rsid w:val="6D7F49A5"/>
    <w:rsid w:val="6DDB2BB3"/>
    <w:rsid w:val="6DE7DB77"/>
    <w:rsid w:val="6E2FDF6D"/>
    <w:rsid w:val="6E7B16E9"/>
    <w:rsid w:val="6EB41528"/>
    <w:rsid w:val="6EBF5A24"/>
    <w:rsid w:val="6ED543F6"/>
    <w:rsid w:val="6EFE755D"/>
    <w:rsid w:val="6EFF4FE1"/>
    <w:rsid w:val="6F0FCE32"/>
    <w:rsid w:val="6F134E87"/>
    <w:rsid w:val="6F7D61D9"/>
    <w:rsid w:val="6FDEE9EC"/>
    <w:rsid w:val="6FEFF9F1"/>
    <w:rsid w:val="6FF3C02F"/>
    <w:rsid w:val="6FF3DBF4"/>
    <w:rsid w:val="6FF5F7B2"/>
    <w:rsid w:val="6FFBF06C"/>
    <w:rsid w:val="6FFF154F"/>
    <w:rsid w:val="6FFFC477"/>
    <w:rsid w:val="6FFFCAAD"/>
    <w:rsid w:val="6FFFE810"/>
    <w:rsid w:val="71A85B13"/>
    <w:rsid w:val="72FE2A58"/>
    <w:rsid w:val="737FBBA0"/>
    <w:rsid w:val="73BC0C60"/>
    <w:rsid w:val="73BC926F"/>
    <w:rsid w:val="73C75B2E"/>
    <w:rsid w:val="73FDBAE2"/>
    <w:rsid w:val="74814BDA"/>
    <w:rsid w:val="74E75D80"/>
    <w:rsid w:val="757DB8FF"/>
    <w:rsid w:val="758FCF07"/>
    <w:rsid w:val="764E5A97"/>
    <w:rsid w:val="7667782A"/>
    <w:rsid w:val="76D907BC"/>
    <w:rsid w:val="76E71956"/>
    <w:rsid w:val="76EF75F3"/>
    <w:rsid w:val="770D676E"/>
    <w:rsid w:val="775EDE41"/>
    <w:rsid w:val="77B7398D"/>
    <w:rsid w:val="77EB799D"/>
    <w:rsid w:val="77FD0787"/>
    <w:rsid w:val="77FF2546"/>
    <w:rsid w:val="77FF5F01"/>
    <w:rsid w:val="7875C6FB"/>
    <w:rsid w:val="78AA128E"/>
    <w:rsid w:val="791BFAB3"/>
    <w:rsid w:val="79235AA9"/>
    <w:rsid w:val="79BD9A02"/>
    <w:rsid w:val="79FEA942"/>
    <w:rsid w:val="7A3E26E1"/>
    <w:rsid w:val="7AD7EA75"/>
    <w:rsid w:val="7AFFC202"/>
    <w:rsid w:val="7B5F7E10"/>
    <w:rsid w:val="7B77566E"/>
    <w:rsid w:val="7BB60704"/>
    <w:rsid w:val="7BB70631"/>
    <w:rsid w:val="7BB7DD2B"/>
    <w:rsid w:val="7BD79F0B"/>
    <w:rsid w:val="7BDB6D63"/>
    <w:rsid w:val="7BFBC5BB"/>
    <w:rsid w:val="7BFC6DFE"/>
    <w:rsid w:val="7BFD6DA3"/>
    <w:rsid w:val="7BFEBDFA"/>
    <w:rsid w:val="7BFF16BF"/>
    <w:rsid w:val="7BFF3943"/>
    <w:rsid w:val="7C7D3EED"/>
    <w:rsid w:val="7C9EBD83"/>
    <w:rsid w:val="7C9FE465"/>
    <w:rsid w:val="7CEB2F45"/>
    <w:rsid w:val="7D77BF1F"/>
    <w:rsid w:val="7D7CE89A"/>
    <w:rsid w:val="7DBB8F30"/>
    <w:rsid w:val="7DCF4CAA"/>
    <w:rsid w:val="7DD9AAB0"/>
    <w:rsid w:val="7DFF55BD"/>
    <w:rsid w:val="7E797EA7"/>
    <w:rsid w:val="7E8FAA87"/>
    <w:rsid w:val="7EE6EF72"/>
    <w:rsid w:val="7EEFA942"/>
    <w:rsid w:val="7EFA0A94"/>
    <w:rsid w:val="7EFB5223"/>
    <w:rsid w:val="7EFD5246"/>
    <w:rsid w:val="7EFD8081"/>
    <w:rsid w:val="7EFE4157"/>
    <w:rsid w:val="7EFF64B4"/>
    <w:rsid w:val="7EFFB682"/>
    <w:rsid w:val="7F3E8F6E"/>
    <w:rsid w:val="7F3FCF18"/>
    <w:rsid w:val="7F57A4E7"/>
    <w:rsid w:val="7F5A3A7C"/>
    <w:rsid w:val="7F7A357F"/>
    <w:rsid w:val="7F7E6DFA"/>
    <w:rsid w:val="7F7EB865"/>
    <w:rsid w:val="7F8E69A7"/>
    <w:rsid w:val="7F9F254C"/>
    <w:rsid w:val="7F9F35B2"/>
    <w:rsid w:val="7F9F61DF"/>
    <w:rsid w:val="7FAA3EAD"/>
    <w:rsid w:val="7FB491A8"/>
    <w:rsid w:val="7FB61343"/>
    <w:rsid w:val="7FB7D295"/>
    <w:rsid w:val="7FB88C97"/>
    <w:rsid w:val="7FBB9EE4"/>
    <w:rsid w:val="7FC401DD"/>
    <w:rsid w:val="7FD771F6"/>
    <w:rsid w:val="7FDEDAC5"/>
    <w:rsid w:val="7FE9C1B8"/>
    <w:rsid w:val="7FEFCA7B"/>
    <w:rsid w:val="7FF7A8DD"/>
    <w:rsid w:val="7FF7F0FF"/>
    <w:rsid w:val="7FFA1CE6"/>
    <w:rsid w:val="7FFB7354"/>
    <w:rsid w:val="7FFBA9A9"/>
    <w:rsid w:val="7FFD79A9"/>
    <w:rsid w:val="7FFF04E3"/>
    <w:rsid w:val="7FFF7257"/>
    <w:rsid w:val="7FFFED78"/>
    <w:rsid w:val="7FFFFBB0"/>
    <w:rsid w:val="83FDBBF1"/>
    <w:rsid w:val="91FF006F"/>
    <w:rsid w:val="97DD4391"/>
    <w:rsid w:val="9BB7D2C6"/>
    <w:rsid w:val="9DAE9FA6"/>
    <w:rsid w:val="9DBD9B31"/>
    <w:rsid w:val="9DDD4C1C"/>
    <w:rsid w:val="9EFD3CF1"/>
    <w:rsid w:val="9FD3141F"/>
    <w:rsid w:val="9FFF1EF5"/>
    <w:rsid w:val="A5B79B43"/>
    <w:rsid w:val="A5F70626"/>
    <w:rsid w:val="A91D2E17"/>
    <w:rsid w:val="AF933C92"/>
    <w:rsid w:val="B39B6B92"/>
    <w:rsid w:val="B3FAFD16"/>
    <w:rsid w:val="B7FE311F"/>
    <w:rsid w:val="BA1EA48F"/>
    <w:rsid w:val="BAEF11CA"/>
    <w:rsid w:val="BB778744"/>
    <w:rsid w:val="BB7BED6F"/>
    <w:rsid w:val="BB7F8223"/>
    <w:rsid w:val="BC572802"/>
    <w:rsid w:val="BCFF9263"/>
    <w:rsid w:val="BD3FDAE1"/>
    <w:rsid w:val="BD7E1E6B"/>
    <w:rsid w:val="BDBF4BA2"/>
    <w:rsid w:val="BE372B9B"/>
    <w:rsid w:val="BEFF1FD1"/>
    <w:rsid w:val="BF17A3BC"/>
    <w:rsid w:val="BF7D0F6A"/>
    <w:rsid w:val="BFF1969B"/>
    <w:rsid w:val="BFF9B82F"/>
    <w:rsid w:val="BFFB0FC3"/>
    <w:rsid w:val="BFFF293E"/>
    <w:rsid w:val="BFFF2BF0"/>
    <w:rsid w:val="C73B3D63"/>
    <w:rsid w:val="CADF905F"/>
    <w:rsid w:val="CBFD9CEB"/>
    <w:rsid w:val="CF3FB286"/>
    <w:rsid w:val="CFE6B779"/>
    <w:rsid w:val="D30748F1"/>
    <w:rsid w:val="D3FFCFB4"/>
    <w:rsid w:val="D6DFB05B"/>
    <w:rsid w:val="D70FE228"/>
    <w:rsid w:val="D76F790A"/>
    <w:rsid w:val="D7BB0556"/>
    <w:rsid w:val="D7CFCBC8"/>
    <w:rsid w:val="D7EF50BE"/>
    <w:rsid w:val="DA77655F"/>
    <w:rsid w:val="DAAFC224"/>
    <w:rsid w:val="DCEC0598"/>
    <w:rsid w:val="DCF1ADF2"/>
    <w:rsid w:val="DD6B27D4"/>
    <w:rsid w:val="DDFEB727"/>
    <w:rsid w:val="DECF5F02"/>
    <w:rsid w:val="DF57CCE5"/>
    <w:rsid w:val="DF7F79B7"/>
    <w:rsid w:val="DF8FE4CF"/>
    <w:rsid w:val="DFBF2603"/>
    <w:rsid w:val="DFC739C4"/>
    <w:rsid w:val="DFDB3E25"/>
    <w:rsid w:val="DFDF0822"/>
    <w:rsid w:val="DFEC88C9"/>
    <w:rsid w:val="DFFE21A2"/>
    <w:rsid w:val="DFFFFD82"/>
    <w:rsid w:val="E16FA1AD"/>
    <w:rsid w:val="E2CF41AD"/>
    <w:rsid w:val="E77BCBB0"/>
    <w:rsid w:val="E7DEC34E"/>
    <w:rsid w:val="E84BE25E"/>
    <w:rsid w:val="E9973D9F"/>
    <w:rsid w:val="E99BE1BE"/>
    <w:rsid w:val="E9FD2126"/>
    <w:rsid w:val="EA8F1BC2"/>
    <w:rsid w:val="EBBFC966"/>
    <w:rsid w:val="EBEF8CD7"/>
    <w:rsid w:val="ED75484D"/>
    <w:rsid w:val="EDA76029"/>
    <w:rsid w:val="EDDBBA44"/>
    <w:rsid w:val="EE5F5B94"/>
    <w:rsid w:val="EEEB2187"/>
    <w:rsid w:val="EEEEB0CF"/>
    <w:rsid w:val="EEF76970"/>
    <w:rsid w:val="EF2F62C4"/>
    <w:rsid w:val="EF7F7329"/>
    <w:rsid w:val="EF9F98F3"/>
    <w:rsid w:val="EFDCA38F"/>
    <w:rsid w:val="EFDF044D"/>
    <w:rsid w:val="EFED93F2"/>
    <w:rsid w:val="EFF3E442"/>
    <w:rsid w:val="EFF3F3EF"/>
    <w:rsid w:val="EFFF4165"/>
    <w:rsid w:val="F1FE446E"/>
    <w:rsid w:val="F33650DC"/>
    <w:rsid w:val="F33EAE52"/>
    <w:rsid w:val="F35F95F5"/>
    <w:rsid w:val="F3BD7778"/>
    <w:rsid w:val="F3DD3FC9"/>
    <w:rsid w:val="F3FAF4E6"/>
    <w:rsid w:val="F4AED7B1"/>
    <w:rsid w:val="F57F389E"/>
    <w:rsid w:val="F5DDD051"/>
    <w:rsid w:val="F67E34FD"/>
    <w:rsid w:val="F67E81C8"/>
    <w:rsid w:val="F67F2DBD"/>
    <w:rsid w:val="F6BF6EA3"/>
    <w:rsid w:val="F7BD8822"/>
    <w:rsid w:val="F7BED899"/>
    <w:rsid w:val="F7DF9AA3"/>
    <w:rsid w:val="F7F56976"/>
    <w:rsid w:val="F7F7B896"/>
    <w:rsid w:val="F7FF9A14"/>
    <w:rsid w:val="F8FA0C55"/>
    <w:rsid w:val="F9CFEB6B"/>
    <w:rsid w:val="FA261147"/>
    <w:rsid w:val="FABF8837"/>
    <w:rsid w:val="FAFFB1AD"/>
    <w:rsid w:val="FB0FEE6A"/>
    <w:rsid w:val="FB235716"/>
    <w:rsid w:val="FB6D9E2C"/>
    <w:rsid w:val="FB7F811D"/>
    <w:rsid w:val="FBBBBE29"/>
    <w:rsid w:val="FBBD4EE4"/>
    <w:rsid w:val="FBD9F89B"/>
    <w:rsid w:val="FBEFEC52"/>
    <w:rsid w:val="FBF790A9"/>
    <w:rsid w:val="FCBE30F1"/>
    <w:rsid w:val="FCF91B9B"/>
    <w:rsid w:val="FD979DD6"/>
    <w:rsid w:val="FDBE9F3F"/>
    <w:rsid w:val="FDEAB45F"/>
    <w:rsid w:val="FDEF8DCE"/>
    <w:rsid w:val="FDF7DB10"/>
    <w:rsid w:val="FE4FF084"/>
    <w:rsid w:val="FEDF4624"/>
    <w:rsid w:val="FEDFF422"/>
    <w:rsid w:val="FEFBDE4A"/>
    <w:rsid w:val="FEFD4E27"/>
    <w:rsid w:val="FEFF566E"/>
    <w:rsid w:val="FF1B1EE4"/>
    <w:rsid w:val="FF2F4369"/>
    <w:rsid w:val="FF3D8B4F"/>
    <w:rsid w:val="FF3ECE53"/>
    <w:rsid w:val="FF5F493C"/>
    <w:rsid w:val="FF63402C"/>
    <w:rsid w:val="FF6BC7CC"/>
    <w:rsid w:val="FF6F068C"/>
    <w:rsid w:val="FF6F4A7C"/>
    <w:rsid w:val="FF772184"/>
    <w:rsid w:val="FF78680F"/>
    <w:rsid w:val="FF7F1A10"/>
    <w:rsid w:val="FF7FBD25"/>
    <w:rsid w:val="FF9D447D"/>
    <w:rsid w:val="FFBD5DC9"/>
    <w:rsid w:val="FFBD620F"/>
    <w:rsid w:val="FFCD8959"/>
    <w:rsid w:val="FFDF110E"/>
    <w:rsid w:val="FFEE3CD1"/>
    <w:rsid w:val="FFEF342F"/>
    <w:rsid w:val="FFEF4D59"/>
    <w:rsid w:val="FFEFB280"/>
    <w:rsid w:val="FFF53ECB"/>
    <w:rsid w:val="FFFBCEA0"/>
    <w:rsid w:val="FFFDA074"/>
    <w:rsid w:val="FFFF03C5"/>
    <w:rsid w:val="FFFF1468"/>
    <w:rsid w:val="FFFF3A87"/>
    <w:rsid w:val="FFFF641E"/>
    <w:rsid w:val="FFFF7CCF"/>
    <w:rsid w:val="FFFFA2BC"/>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仿宋" w:hAnsi="宋体" w:eastAsia="仿宋" w:cs="Times New Roman"/>
      <w:kern w:val="2"/>
      <w:sz w:val="32"/>
      <w:szCs w:val="22"/>
      <w:lang w:val="en-US" w:eastAsia="zh-CN" w:bidi="ar-SA"/>
    </w:rPr>
  </w:style>
  <w:style w:type="character" w:default="1" w:styleId="12">
    <w:name w:val="Default Paragraph Font"/>
    <w:semiHidden/>
    <w:qFormat/>
    <w:uiPriority w:val="99"/>
  </w:style>
  <w:style w:type="table" w:default="1" w:styleId="10">
    <w:name w:val="Normal Table"/>
    <w:unhideWhenUsed/>
    <w:qFormat/>
    <w:uiPriority w:val="99"/>
    <w:tblPr>
      <w:tblCellMar>
        <w:top w:w="0" w:type="dxa"/>
        <w:left w:w="108" w:type="dxa"/>
        <w:bottom w:w="0" w:type="dxa"/>
        <w:right w:w="108" w:type="dxa"/>
      </w:tblCellMar>
    </w:tblPr>
  </w:style>
  <w:style w:type="paragraph" w:styleId="2">
    <w:name w:val="Plain Text"/>
    <w:basedOn w:val="1"/>
    <w:qFormat/>
    <w:uiPriority w:val="0"/>
    <w:rPr>
      <w:rFonts w:ascii="宋体" w:hAnsi="Courier New" w:eastAsia="宋体"/>
      <w:sz w:val="21"/>
      <w:szCs w:val="21"/>
    </w:rPr>
  </w:style>
  <w:style w:type="paragraph" w:styleId="3">
    <w:name w:val="annotation text"/>
    <w:basedOn w:val="1"/>
    <w:qFormat/>
    <w:uiPriority w:val="0"/>
    <w:pPr>
      <w:jc w:val="left"/>
    </w:pPr>
  </w:style>
  <w:style w:type="paragraph" w:styleId="4">
    <w:name w:val="Body Text"/>
    <w:basedOn w:val="1"/>
    <w:next w:val="1"/>
    <w:link w:val="15"/>
    <w:qFormat/>
    <w:uiPriority w:val="99"/>
    <w:pPr>
      <w:spacing w:line="240" w:lineRule="atLeast"/>
    </w:pPr>
    <w:rPr>
      <w:rFonts w:eastAsia="小标宋"/>
      <w:sz w:val="44"/>
      <w:szCs w:val="32"/>
    </w:rPr>
  </w:style>
  <w:style w:type="paragraph" w:styleId="5">
    <w:name w:val="Body Text Indent"/>
    <w:basedOn w:val="1"/>
    <w:qFormat/>
    <w:uiPriority w:val="0"/>
    <w:pPr>
      <w:spacing w:after="120"/>
      <w:ind w:left="420" w:leftChars="200"/>
    </w:pPr>
  </w:style>
  <w:style w:type="paragraph" w:styleId="6">
    <w:name w:val="footer"/>
    <w:basedOn w:val="1"/>
    <w:link w:val="16"/>
    <w:qFormat/>
    <w:uiPriority w:val="99"/>
    <w:pPr>
      <w:tabs>
        <w:tab w:val="center" w:pos="4153"/>
        <w:tab w:val="right" w:pos="8306"/>
      </w:tabs>
      <w:snapToGrid w:val="0"/>
      <w:jc w:val="left"/>
    </w:pPr>
    <w:rPr>
      <w:sz w:val="18"/>
      <w:szCs w:val="18"/>
    </w:rPr>
  </w:style>
  <w:style w:type="paragraph" w:styleId="7">
    <w:name w:val="header"/>
    <w:basedOn w:val="1"/>
    <w:link w:val="17"/>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paragraph" w:styleId="9">
    <w:name w:val="Body Text First Indent 2"/>
    <w:basedOn w:val="5"/>
    <w:qFormat/>
    <w:uiPriority w:val="0"/>
    <w:pPr>
      <w:ind w:firstLine="420" w:firstLineChars="200"/>
    </w:pPr>
  </w:style>
  <w:style w:type="table" w:styleId="11">
    <w:name w:val="Table Grid"/>
    <w:basedOn w:val="10"/>
    <w:qFormat/>
    <w:uiPriority w:val="99"/>
    <w:pPr>
      <w:widowControl w:val="0"/>
      <w:jc w:val="both"/>
    </w:pPr>
    <w:rPr>
      <w:rFonts w:ascii="Times New Roman" w:hAnsi="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3">
    <w:name w:val="page number"/>
    <w:basedOn w:val="12"/>
    <w:qFormat/>
    <w:uiPriority w:val="99"/>
    <w:rPr>
      <w:rFonts w:cs="Times New Roman"/>
    </w:rPr>
  </w:style>
  <w:style w:type="character" w:styleId="14">
    <w:name w:val="Hyperlink"/>
    <w:basedOn w:val="12"/>
    <w:semiHidden/>
    <w:unhideWhenUsed/>
    <w:qFormat/>
    <w:uiPriority w:val="99"/>
    <w:rPr>
      <w:color w:val="0000FF"/>
      <w:u w:val="single"/>
    </w:rPr>
  </w:style>
  <w:style w:type="character" w:customStyle="1" w:styleId="15">
    <w:name w:val="Body Text Char"/>
    <w:basedOn w:val="12"/>
    <w:link w:val="4"/>
    <w:qFormat/>
    <w:locked/>
    <w:uiPriority w:val="99"/>
    <w:rPr>
      <w:rFonts w:ascii="宋体" w:hAnsi="宋体" w:eastAsia="小标宋" w:cs="Times New Roman"/>
      <w:sz w:val="32"/>
      <w:szCs w:val="32"/>
    </w:rPr>
  </w:style>
  <w:style w:type="character" w:customStyle="1" w:styleId="16">
    <w:name w:val="Footer Char"/>
    <w:basedOn w:val="12"/>
    <w:link w:val="6"/>
    <w:qFormat/>
    <w:locked/>
    <w:uiPriority w:val="99"/>
    <w:rPr>
      <w:rFonts w:ascii="宋体" w:hAnsi="宋体" w:eastAsia="方正仿宋简体" w:cs="Times New Roman"/>
      <w:sz w:val="18"/>
      <w:szCs w:val="18"/>
    </w:rPr>
  </w:style>
  <w:style w:type="character" w:customStyle="1" w:styleId="17">
    <w:name w:val="Header Char"/>
    <w:basedOn w:val="12"/>
    <w:link w:val="7"/>
    <w:semiHidden/>
    <w:qFormat/>
    <w:locked/>
    <w:uiPriority w:val="99"/>
    <w:rPr>
      <w:rFonts w:ascii="宋体" w:hAnsi="宋体" w:eastAsia="方正仿宋简体" w:cs="Times New Roman"/>
      <w:sz w:val="18"/>
      <w:szCs w:val="18"/>
    </w:rPr>
  </w:style>
  <w:style w:type="character" w:customStyle="1" w:styleId="18">
    <w:name w:val="wenzhang1"/>
    <w:basedOn w:val="12"/>
    <w:qFormat/>
    <w:uiPriority w:val="99"/>
    <w:rPr>
      <w:rFonts w:ascii="宋体" w:hAnsi="宋体" w:eastAsia="宋体" w:cs="宋体"/>
      <w:color w:val="000000"/>
      <w:sz w:val="21"/>
      <w:szCs w:val="21"/>
    </w:rPr>
  </w:style>
  <w:style w:type="character" w:customStyle="1" w:styleId="19">
    <w:name w:val="font41"/>
    <w:basedOn w:val="12"/>
    <w:qFormat/>
    <w:uiPriority w:val="0"/>
    <w:rPr>
      <w:rFonts w:hint="eastAsia" w:ascii="宋体" w:hAnsi="宋体" w:eastAsia="宋体" w:cs="宋体"/>
      <w:color w:val="000000"/>
      <w:sz w:val="20"/>
      <w:szCs w:val="20"/>
      <w:u w:val="none"/>
    </w:rPr>
  </w:style>
  <w:style w:type="character" w:customStyle="1" w:styleId="20">
    <w:name w:val="font31"/>
    <w:basedOn w:val="12"/>
    <w:qFormat/>
    <w:uiPriority w:val="0"/>
    <w:rPr>
      <w:rFonts w:hint="eastAsia" w:ascii="宋体" w:hAnsi="宋体" w:eastAsia="宋体" w:cs="宋体"/>
      <w:color w:val="000000"/>
      <w:sz w:val="20"/>
      <w:szCs w:val="20"/>
      <w:u w:val="none"/>
    </w:rPr>
  </w:style>
  <w:style w:type="character" w:customStyle="1" w:styleId="21">
    <w:name w:val="font12"/>
    <w:basedOn w:val="12"/>
    <w:qFormat/>
    <w:uiPriority w:val="0"/>
    <w:rPr>
      <w:rFonts w:hint="eastAsia" w:ascii="宋体" w:hAnsi="宋体" w:eastAsia="宋体" w:cs="宋体"/>
      <w:color w:val="FF0000"/>
      <w:sz w:val="20"/>
      <w:szCs w:val="20"/>
      <w:u w:val="none"/>
    </w:rPr>
  </w:style>
  <w:style w:type="character" w:customStyle="1" w:styleId="22">
    <w:name w:val="font21"/>
    <w:basedOn w:val="12"/>
    <w:qFormat/>
    <w:uiPriority w:val="0"/>
    <w:rPr>
      <w:rFonts w:hint="eastAsia" w:ascii="宋体" w:hAnsi="宋体" w:eastAsia="宋体" w:cs="宋体"/>
      <w:color w:val="000000"/>
      <w:sz w:val="20"/>
      <w:szCs w:val="20"/>
      <w:u w:val="none"/>
    </w:rPr>
  </w:style>
  <w:style w:type="character" w:customStyle="1" w:styleId="23">
    <w:name w:val="font71"/>
    <w:basedOn w:val="12"/>
    <w:qFormat/>
    <w:uiPriority w:val="0"/>
    <w:rPr>
      <w:rFonts w:hint="eastAsia" w:ascii="宋体" w:hAnsi="宋体" w:eastAsia="宋体" w:cs="宋体"/>
      <w:color w:val="000000"/>
      <w:sz w:val="18"/>
      <w:szCs w:val="18"/>
      <w:u w:val="none"/>
    </w:rPr>
  </w:style>
  <w:style w:type="character" w:customStyle="1" w:styleId="24">
    <w:name w:val="font11"/>
    <w:basedOn w:val="12"/>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home/kylin/C:\Users\Dell\AppData\Roaming\gwb\h111.gw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h111.gwb</Template>
  <Pages>10</Pages>
  <Words>809</Words>
  <Characters>4613</Characters>
  <Lines>0</Lines>
  <Paragraphs>0</Paragraphs>
  <TotalTime>0</TotalTime>
  <ScaleCrop>false</ScaleCrop>
  <LinksUpToDate>false</LinksUpToDate>
  <CharactersWithSpaces>0</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2019-09-03T01:03:00Z</dcterms:created>
  <dc:creator>刘浩然</dc:creator>
  <cp:lastModifiedBy>greatwall</cp:lastModifiedBy>
  <cp:lastPrinted>2024-03-03T00:37:00Z</cp:lastPrinted>
  <dcterms:modified xsi:type="dcterms:W3CDTF">2025-03-19T16:45:32Z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7FD341C6D693DD43D48E776766E01D53</vt:lpwstr>
  </property>
</Properties>
</file>