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D45C964">
      <w:pPr>
        <w:pStyle w:val="2"/>
        <w:spacing w:after="156" w:afterLines="50" w:line="620" w:lineRule="exact"/>
        <w:jc w:val="center"/>
        <w:rPr>
          <w:rFonts w:hint="eastAsia" w:ascii="宋体" w:hAnsi="宋体" w:eastAsia="宋体"/>
          <w:b/>
          <w:bCs/>
          <w:sz w:val="32"/>
          <w:szCs w:val="32"/>
          <w:lang w:eastAsia="zh-CN"/>
        </w:rPr>
      </w:pPr>
      <w:r>
        <w:rPr>
          <w:rFonts w:hint="eastAsia" w:ascii="宋体" w:hAnsi="宋体" w:eastAsia="宋体"/>
          <w:b/>
          <w:bCs/>
          <w:spacing w:val="-12"/>
          <w:sz w:val="36"/>
          <w:szCs w:val="36"/>
          <w:lang w:eastAsia="zh-CN"/>
        </w:rPr>
        <w:t>中级注册安全工程师</w:t>
      </w:r>
      <w:r>
        <w:rPr>
          <w:rFonts w:ascii="宋体" w:hAnsi="宋体" w:eastAsia="宋体"/>
          <w:b/>
          <w:bCs/>
          <w:spacing w:val="-12"/>
          <w:sz w:val="36"/>
          <w:szCs w:val="36"/>
        </w:rPr>
        <w:t>职业资格考试</w:t>
      </w:r>
      <w:r>
        <w:rPr>
          <w:rFonts w:hint="eastAsia" w:ascii="宋体" w:hAnsi="宋体" w:eastAsia="宋体"/>
          <w:b/>
          <w:bCs/>
          <w:spacing w:val="-12"/>
          <w:sz w:val="36"/>
          <w:szCs w:val="36"/>
        </w:rPr>
        <w:t>报考条件</w:t>
      </w:r>
    </w:p>
    <w:p w14:paraId="5811DD91">
      <w:pPr>
        <w:widowControl/>
        <w:shd w:val="clear" w:color="auto" w:fill="FFFFFF"/>
        <w:spacing w:before="108" w:after="108" w:line="384" w:lineRule="atLeast"/>
        <w:jc w:val="center"/>
        <w:rPr>
          <w:rFonts w:ascii="宋体" w:hAnsi="宋体" w:cs="宋体"/>
          <w:color w:val="2D0201"/>
          <w:kern w:val="0"/>
          <w:szCs w:val="21"/>
        </w:rPr>
      </w:pPr>
      <w:r>
        <w:rPr>
          <w:rFonts w:hint="eastAsia" w:ascii="宋体" w:hAnsi="宋体" w:cs="宋体"/>
          <w:b/>
          <w:bCs/>
          <w:color w:val="2D0201"/>
          <w:kern w:val="0"/>
          <w:szCs w:val="21"/>
        </w:rPr>
        <w:t>报名条件</w:t>
      </w:r>
    </w:p>
    <w:p w14:paraId="0813AFD8">
      <w:pPr>
        <w:widowControl/>
        <w:shd w:val="clear" w:color="auto" w:fill="FFFFFF"/>
        <w:spacing w:before="108" w:after="108" w:line="384" w:lineRule="atLeast"/>
        <w:ind w:firstLine="384"/>
        <w:jc w:val="left"/>
        <w:rPr>
          <w:rFonts w:hint="eastAsia" w:ascii="宋体" w:hAnsi="宋体" w:cs="宋体"/>
          <w:color w:val="2D0201"/>
          <w:kern w:val="0"/>
          <w:szCs w:val="21"/>
        </w:rPr>
      </w:pPr>
      <w:r>
        <w:rPr>
          <w:rFonts w:hint="eastAsia" w:ascii="宋体" w:hAnsi="宋体" w:cs="宋体"/>
          <w:color w:val="2D0201"/>
          <w:kern w:val="0"/>
          <w:szCs w:val="21"/>
        </w:rPr>
        <w:t>凡遵守中华人民共和国宪法、法律、法规，具有良好的业务素质和道德品行，具备下列条件之一者，可以申请参加中级注册安全工程师职业资格考试：</w:t>
      </w:r>
    </w:p>
    <w:p w14:paraId="7FB2E137">
      <w:pPr>
        <w:widowControl/>
        <w:shd w:val="clear" w:color="auto" w:fill="FFFFFF"/>
        <w:spacing w:before="108" w:after="108" w:line="384" w:lineRule="atLeast"/>
        <w:ind w:firstLine="384"/>
        <w:jc w:val="left"/>
        <w:rPr>
          <w:rFonts w:hint="eastAsia" w:ascii="宋体" w:hAnsi="宋体" w:cs="宋体"/>
          <w:color w:val="2D0201"/>
          <w:kern w:val="0"/>
          <w:szCs w:val="21"/>
        </w:rPr>
      </w:pPr>
      <w:r>
        <w:rPr>
          <w:rFonts w:hint="eastAsia" w:ascii="宋体" w:hAnsi="宋体" w:cs="宋体"/>
          <w:color w:val="2D0201"/>
          <w:kern w:val="0"/>
          <w:szCs w:val="21"/>
        </w:rPr>
        <w:t>（一）具有安全工程及相关专业大学专科学历，从事安全生产业务满5年；或具有其他专业大学专科学历，从事安全生产业务满6年。</w:t>
      </w:r>
    </w:p>
    <w:p w14:paraId="311DAA04">
      <w:pPr>
        <w:widowControl/>
        <w:shd w:val="clear" w:color="auto" w:fill="FFFFFF"/>
        <w:spacing w:before="108" w:after="108" w:line="384" w:lineRule="atLeast"/>
        <w:ind w:firstLine="384"/>
        <w:jc w:val="left"/>
        <w:rPr>
          <w:rFonts w:hint="eastAsia" w:ascii="宋体" w:hAnsi="宋体" w:cs="宋体"/>
          <w:color w:val="2D0201"/>
          <w:kern w:val="0"/>
          <w:szCs w:val="21"/>
        </w:rPr>
      </w:pPr>
      <w:r>
        <w:rPr>
          <w:rFonts w:hint="eastAsia" w:ascii="宋体" w:hAnsi="宋体" w:cs="宋体"/>
          <w:color w:val="2D0201"/>
          <w:kern w:val="0"/>
          <w:szCs w:val="21"/>
        </w:rPr>
        <w:t>（二）具有安全工程及相关专业大学本科学历，从事安全生产业务满3年；或具有其他专业大学本科学历，从事安全生产业务满4年。</w:t>
      </w:r>
    </w:p>
    <w:p w14:paraId="2ED9B4CA">
      <w:pPr>
        <w:widowControl/>
        <w:shd w:val="clear" w:color="auto" w:fill="FFFFFF"/>
        <w:spacing w:before="108" w:after="108" w:line="384" w:lineRule="atLeast"/>
        <w:ind w:firstLine="384"/>
        <w:jc w:val="left"/>
        <w:rPr>
          <w:rFonts w:hint="eastAsia" w:ascii="宋体" w:hAnsi="宋体" w:cs="宋体"/>
          <w:color w:val="2D0201"/>
          <w:kern w:val="0"/>
          <w:szCs w:val="21"/>
        </w:rPr>
      </w:pPr>
      <w:r>
        <w:rPr>
          <w:rFonts w:hint="eastAsia" w:ascii="宋体" w:hAnsi="宋体" w:cs="宋体"/>
          <w:color w:val="2D0201"/>
          <w:kern w:val="0"/>
          <w:szCs w:val="21"/>
        </w:rPr>
        <w:t>（三）具有安全工程及相关专业第二学士学位，从事安全生产业务满2年；或具有其他专业第二学士学位，从事安全生产业务满3年。</w:t>
      </w:r>
    </w:p>
    <w:p w14:paraId="23016FEA">
      <w:pPr>
        <w:widowControl/>
        <w:shd w:val="clear" w:color="auto" w:fill="FFFFFF"/>
        <w:spacing w:before="108" w:after="108" w:line="384" w:lineRule="atLeast"/>
        <w:ind w:firstLine="384"/>
        <w:jc w:val="left"/>
        <w:rPr>
          <w:rFonts w:hint="eastAsia" w:ascii="宋体" w:hAnsi="宋体" w:cs="宋体"/>
          <w:color w:val="2D0201"/>
          <w:kern w:val="0"/>
          <w:szCs w:val="21"/>
        </w:rPr>
      </w:pPr>
      <w:r>
        <w:rPr>
          <w:rFonts w:hint="eastAsia" w:ascii="宋体" w:hAnsi="宋体" w:cs="宋体"/>
          <w:color w:val="2D0201"/>
          <w:kern w:val="0"/>
          <w:szCs w:val="21"/>
        </w:rPr>
        <w:t>（四）具有安全工程及相关专业硕士学位，从事安全生产业务满1年；或具有其他专业硕士学位，从事安全生产业务满2年。</w:t>
      </w:r>
    </w:p>
    <w:p w14:paraId="5ACD6ADA">
      <w:pPr>
        <w:widowControl/>
        <w:shd w:val="clear" w:color="auto" w:fill="FFFFFF"/>
        <w:spacing w:before="108" w:after="108" w:line="384" w:lineRule="atLeast"/>
        <w:ind w:firstLine="384"/>
        <w:jc w:val="left"/>
        <w:rPr>
          <w:rFonts w:hint="eastAsia" w:ascii="宋体" w:hAnsi="宋体" w:cs="宋体"/>
          <w:color w:val="2D0201"/>
          <w:kern w:val="0"/>
          <w:szCs w:val="21"/>
        </w:rPr>
      </w:pPr>
      <w:r>
        <w:rPr>
          <w:rFonts w:hint="eastAsia" w:ascii="宋体" w:hAnsi="宋体" w:cs="宋体"/>
          <w:color w:val="2D0201"/>
          <w:kern w:val="0"/>
          <w:szCs w:val="21"/>
        </w:rPr>
        <w:t>（五）具有博士学位，从事安全生产业务满1年。</w:t>
      </w:r>
    </w:p>
    <w:p w14:paraId="1B7B6C9E">
      <w:pPr>
        <w:widowControl/>
        <w:shd w:val="clear" w:color="auto" w:fill="FFFFFF"/>
        <w:spacing w:before="108" w:after="108" w:line="384" w:lineRule="atLeast"/>
        <w:ind w:firstLine="384"/>
        <w:jc w:val="left"/>
        <w:rPr>
          <w:rFonts w:hint="eastAsia" w:ascii="宋体" w:hAnsi="宋体" w:cs="宋体"/>
          <w:color w:val="2D0201"/>
          <w:kern w:val="0"/>
          <w:szCs w:val="21"/>
        </w:rPr>
      </w:pPr>
      <w:r>
        <w:rPr>
          <w:rFonts w:hint="eastAsia" w:ascii="宋体" w:hAnsi="宋体" w:cs="宋体"/>
          <w:color w:val="2D0201"/>
          <w:kern w:val="0"/>
          <w:szCs w:val="21"/>
        </w:rPr>
        <w:t>（六）取得初级注册安全工程师职业资格后，从事安全生产业务满3年。</w:t>
      </w:r>
    </w:p>
    <w:p w14:paraId="1D209465">
      <w:pPr>
        <w:widowControl/>
        <w:shd w:val="clear" w:color="auto" w:fill="FFFFFF"/>
        <w:spacing w:before="108" w:after="108" w:line="384" w:lineRule="atLeast"/>
        <w:jc w:val="center"/>
        <w:rPr>
          <w:rFonts w:hint="eastAsia" w:ascii="宋体" w:hAnsi="宋体" w:cs="宋体"/>
          <w:color w:val="2D0201"/>
          <w:kern w:val="0"/>
          <w:szCs w:val="21"/>
        </w:rPr>
      </w:pPr>
      <w:r>
        <w:rPr>
          <w:rFonts w:hint="eastAsia" w:ascii="宋体" w:hAnsi="宋体" w:cs="宋体"/>
          <w:b/>
          <w:bCs/>
          <w:color w:val="2D0201"/>
          <w:kern w:val="0"/>
          <w:szCs w:val="21"/>
        </w:rPr>
        <w:t>免试部分科目条件</w:t>
      </w:r>
    </w:p>
    <w:p w14:paraId="30DDDEA8">
      <w:pPr>
        <w:widowControl/>
        <w:shd w:val="clear" w:color="auto" w:fill="FFFFFF"/>
        <w:spacing w:before="108" w:after="108" w:line="384" w:lineRule="atLeast"/>
        <w:ind w:firstLine="384"/>
        <w:jc w:val="left"/>
        <w:rPr>
          <w:rFonts w:hint="eastAsia" w:ascii="宋体" w:hAnsi="宋体" w:cs="宋体"/>
          <w:color w:val="2D0201"/>
          <w:kern w:val="0"/>
          <w:szCs w:val="21"/>
        </w:rPr>
      </w:pPr>
      <w:r>
        <w:rPr>
          <w:rFonts w:hint="eastAsia" w:ascii="宋体" w:hAnsi="宋体" w:cs="宋体"/>
          <w:color w:val="2D0201"/>
          <w:kern w:val="0"/>
          <w:szCs w:val="21"/>
        </w:rPr>
        <w:t>符合《注册安全工程师职业资格制度规定》中的中级注册安全工程师职业资格考试报名条件，具有高级或正高级工程师职称，并从事安全生产业务满10年的人员，可免试“安全生产管理”和“安全生产技术基础”2个科目。</w:t>
      </w:r>
    </w:p>
    <w:p w14:paraId="6EC910A4">
      <w:pPr>
        <w:widowControl/>
        <w:shd w:val="clear" w:color="auto" w:fill="FFFFFF"/>
        <w:spacing w:before="108" w:after="108" w:line="384" w:lineRule="atLeast"/>
        <w:ind w:firstLine="384"/>
        <w:jc w:val="left"/>
        <w:rPr>
          <w:rFonts w:hint="eastAsia" w:ascii="宋体" w:hAnsi="宋体" w:cs="宋体"/>
          <w:color w:val="2D0201"/>
          <w:kern w:val="0"/>
          <w:szCs w:val="21"/>
        </w:rPr>
      </w:pPr>
      <w:r>
        <w:rPr>
          <w:rFonts w:hint="eastAsia" w:ascii="宋体" w:hAnsi="宋体" w:cs="宋体"/>
          <w:color w:val="2D0201"/>
          <w:kern w:val="0"/>
          <w:szCs w:val="21"/>
        </w:rPr>
        <w:t>符合《注册安全工程师职业资格制度规定》中的中级注册安全工程师职业资格考试报名条件，本科毕业时所学安全工程专业经全国工程教育专业认证的人员，可免试“安全生产技术基础”科目。</w:t>
      </w:r>
    </w:p>
    <w:p w14:paraId="2F64CF18">
      <w:pPr>
        <w:widowControl/>
        <w:shd w:val="clear" w:color="auto" w:fill="FFFFFF"/>
        <w:spacing w:before="108" w:after="108" w:line="384" w:lineRule="atLeast"/>
        <w:ind w:firstLine="384"/>
        <w:jc w:val="left"/>
        <w:rPr>
          <w:rFonts w:hint="eastAsia" w:ascii="宋体" w:hAnsi="宋体" w:cs="宋体"/>
          <w:color w:val="2D0201"/>
          <w:kern w:val="0"/>
          <w:szCs w:val="21"/>
        </w:rPr>
      </w:pPr>
      <w:r>
        <w:rPr>
          <w:rFonts w:hint="eastAsia" w:ascii="宋体" w:hAnsi="宋体" w:cs="宋体"/>
          <w:color w:val="2D0201"/>
          <w:kern w:val="0"/>
          <w:szCs w:val="21"/>
        </w:rPr>
        <w:t>已取得中级注册安全工程师职业资格证书的人员，报名参加其他专业类别考试的，可免试公共科目。考试合格后，核发人力资源社会保障部统一印制的相应专业类别考试合格证明。该证明作为注册时变更专业类别等事项的依据。</w:t>
      </w:r>
    </w:p>
    <w:p w14:paraId="01B584B1">
      <w:pPr>
        <w:widowControl/>
        <w:shd w:val="clear" w:color="auto" w:fill="FFFFFF"/>
        <w:spacing w:before="108" w:after="108" w:line="384" w:lineRule="atLeast"/>
        <w:jc w:val="center"/>
        <w:rPr>
          <w:rFonts w:hint="eastAsia" w:ascii="宋体" w:hAnsi="宋体" w:cs="宋体"/>
          <w:color w:val="2D0201"/>
          <w:kern w:val="0"/>
          <w:szCs w:val="21"/>
        </w:rPr>
      </w:pPr>
      <w:r>
        <w:rPr>
          <w:rFonts w:hint="eastAsia" w:ascii="宋体" w:hAnsi="宋体" w:cs="宋体"/>
          <w:b/>
          <w:bCs/>
          <w:color w:val="2D0201"/>
          <w:kern w:val="0"/>
          <w:szCs w:val="21"/>
        </w:rPr>
        <w:t>报名条件说明</w:t>
      </w:r>
    </w:p>
    <w:p w14:paraId="0EDE43FF">
      <w:pPr>
        <w:widowControl/>
        <w:shd w:val="clear" w:color="auto" w:fill="FFFFFF"/>
        <w:spacing w:before="108" w:after="108" w:line="384" w:lineRule="atLeast"/>
        <w:ind w:firstLine="384"/>
        <w:jc w:val="left"/>
        <w:rPr>
          <w:rFonts w:hint="eastAsia" w:ascii="宋体" w:hAnsi="宋体" w:cs="宋体"/>
          <w:color w:val="2D0201"/>
          <w:kern w:val="0"/>
          <w:szCs w:val="21"/>
        </w:rPr>
      </w:pPr>
      <w:r>
        <w:rPr>
          <w:rFonts w:hint="eastAsia" w:ascii="宋体" w:hAnsi="宋体" w:cs="宋体"/>
          <w:color w:val="2D0201"/>
          <w:kern w:val="0"/>
          <w:szCs w:val="21"/>
        </w:rPr>
        <w:t>2018年度取得部分考试科目合格成绩的人员，2019年再次报考时可根据所在单位行业类别，参考《注册安全工程师职业资格制度规定》中“各专业类别注册安全工程师执业行业界定表”，由考生选择报考专业类别。</w:t>
      </w:r>
    </w:p>
    <w:p w14:paraId="3F0C469C">
      <w:pPr>
        <w:widowControl/>
        <w:shd w:val="clear" w:color="auto" w:fill="FFFFFF"/>
        <w:spacing w:before="108" w:after="108" w:line="384" w:lineRule="atLeast"/>
        <w:ind w:firstLine="384"/>
        <w:jc w:val="center"/>
        <w:rPr>
          <w:rFonts w:hint="eastAsia" w:ascii="宋体" w:hAnsi="宋体" w:cs="宋体"/>
          <w:color w:val="2D0201"/>
          <w:kern w:val="0"/>
          <w:szCs w:val="21"/>
        </w:rPr>
      </w:pPr>
      <w:r>
        <w:rPr>
          <w:rFonts w:hint="eastAsia" w:ascii="宋体" w:hAnsi="宋体" w:cs="宋体"/>
          <w:b/>
          <w:bCs/>
          <w:color w:val="2D0201"/>
          <w:kern w:val="0"/>
          <w:szCs w:val="21"/>
        </w:rPr>
        <w:t> </w:t>
      </w:r>
    </w:p>
    <w:p w14:paraId="2122E883">
      <w:pPr>
        <w:widowControl/>
        <w:shd w:val="clear" w:color="auto" w:fill="FFFFFF"/>
        <w:spacing w:before="108" w:after="108" w:line="384" w:lineRule="atLeast"/>
        <w:jc w:val="center"/>
        <w:rPr>
          <w:rFonts w:hint="eastAsia" w:ascii="宋体" w:hAnsi="宋体" w:cs="宋体"/>
          <w:color w:val="2D0201"/>
          <w:kern w:val="0"/>
          <w:szCs w:val="21"/>
        </w:rPr>
      </w:pPr>
      <w:r>
        <w:rPr>
          <w:rFonts w:hint="eastAsia" w:ascii="宋体" w:hAnsi="宋体" w:cs="宋体"/>
          <w:b/>
          <w:bCs/>
          <w:color w:val="2D0201"/>
          <w:kern w:val="0"/>
          <w:szCs w:val="21"/>
        </w:rPr>
        <w:t>各专业类别注册安全工程师执业行业界定表</w:t>
      </w:r>
    </w:p>
    <w:tbl>
      <w:tblPr>
        <w:tblStyle w:val="4"/>
        <w:tblW w:w="6288" w:type="dxa"/>
        <w:tblInd w:w="1233" w:type="dxa"/>
        <w:shd w:val="clear" w:color="auto" w:fill="FFFFFF"/>
        <w:tblLayout w:type="autofit"/>
        <w:tblCellMar>
          <w:top w:w="0" w:type="dxa"/>
          <w:left w:w="0" w:type="dxa"/>
          <w:bottom w:w="0" w:type="dxa"/>
          <w:right w:w="0" w:type="dxa"/>
        </w:tblCellMar>
      </w:tblPr>
      <w:tblGrid>
        <w:gridCol w:w="504"/>
        <w:gridCol w:w="1896"/>
        <w:gridCol w:w="3888"/>
      </w:tblGrid>
      <w:tr w14:paraId="49608514">
        <w:tblPrEx>
          <w:shd w:val="clear" w:color="auto" w:fill="FFFFFF"/>
          <w:tblCellMar>
            <w:top w:w="0" w:type="dxa"/>
            <w:left w:w="0" w:type="dxa"/>
            <w:bottom w:w="0" w:type="dxa"/>
            <w:right w:w="0" w:type="dxa"/>
          </w:tblCellMar>
        </w:tblPrEx>
        <w:tc>
          <w:tcPr>
            <w:tcW w:w="504" w:type="dxa"/>
            <w:tcBorders>
              <w:top w:val="single" w:color="190B16" w:sz="4" w:space="0"/>
              <w:left w:val="single" w:color="190B16" w:sz="4" w:space="0"/>
              <w:bottom w:val="single" w:color="190B16" w:sz="4" w:space="0"/>
              <w:right w:val="single" w:color="190B16" w:sz="4" w:space="0"/>
            </w:tcBorders>
            <w:shd w:val="clear" w:color="auto" w:fill="FFFFFF"/>
            <w:noWrap w:val="0"/>
            <w:vAlign w:val="center"/>
          </w:tcPr>
          <w:p w14:paraId="0B66EABB">
            <w:pPr>
              <w:widowControl/>
              <w:spacing w:before="108" w:after="108" w:line="384" w:lineRule="atLeast"/>
              <w:jc w:val="center"/>
              <w:rPr>
                <w:rFonts w:ascii="宋体" w:hAnsi="宋体" w:cs="宋体"/>
                <w:color w:val="190B16"/>
                <w:kern w:val="0"/>
                <w:szCs w:val="21"/>
              </w:rPr>
            </w:pPr>
            <w:r>
              <w:rPr>
                <w:rFonts w:hint="eastAsia" w:ascii="宋体" w:hAnsi="宋体" w:cs="宋体"/>
                <w:b/>
                <w:bCs/>
                <w:color w:val="190B16"/>
                <w:kern w:val="0"/>
                <w:szCs w:val="21"/>
              </w:rPr>
              <w:t>序号</w:t>
            </w:r>
          </w:p>
        </w:tc>
        <w:tc>
          <w:tcPr>
            <w:tcW w:w="1896" w:type="dxa"/>
            <w:tcBorders>
              <w:top w:val="single" w:color="190B16" w:sz="4" w:space="0"/>
              <w:left w:val="nil"/>
              <w:bottom w:val="single" w:color="190B16" w:sz="4" w:space="0"/>
              <w:right w:val="single" w:color="190B16" w:sz="4" w:space="0"/>
            </w:tcBorders>
            <w:shd w:val="clear" w:color="auto" w:fill="FFFFFF"/>
            <w:noWrap w:val="0"/>
            <w:vAlign w:val="center"/>
          </w:tcPr>
          <w:p w14:paraId="45A1C5D2">
            <w:pPr>
              <w:widowControl/>
              <w:spacing w:before="108" w:after="108" w:line="384" w:lineRule="atLeast"/>
              <w:jc w:val="center"/>
              <w:rPr>
                <w:rFonts w:ascii="宋体" w:hAnsi="宋体" w:cs="宋体"/>
                <w:color w:val="190B16"/>
                <w:kern w:val="0"/>
                <w:szCs w:val="21"/>
              </w:rPr>
            </w:pPr>
            <w:r>
              <w:rPr>
                <w:rFonts w:hint="eastAsia" w:ascii="宋体" w:hAnsi="宋体" w:cs="宋体"/>
                <w:b/>
                <w:bCs/>
                <w:color w:val="190B16"/>
                <w:kern w:val="0"/>
                <w:szCs w:val="21"/>
              </w:rPr>
              <w:t>专业类别</w:t>
            </w:r>
          </w:p>
        </w:tc>
        <w:tc>
          <w:tcPr>
            <w:tcW w:w="3888" w:type="dxa"/>
            <w:tcBorders>
              <w:top w:val="single" w:color="190B16" w:sz="4" w:space="0"/>
              <w:left w:val="nil"/>
              <w:bottom w:val="single" w:color="190B16" w:sz="4" w:space="0"/>
              <w:right w:val="single" w:color="190B16" w:sz="4" w:space="0"/>
            </w:tcBorders>
            <w:shd w:val="clear" w:color="auto" w:fill="FFFFFF"/>
            <w:noWrap w:val="0"/>
            <w:vAlign w:val="center"/>
          </w:tcPr>
          <w:p w14:paraId="2CB08C18">
            <w:pPr>
              <w:widowControl/>
              <w:spacing w:before="108" w:after="108" w:line="384" w:lineRule="atLeast"/>
              <w:jc w:val="center"/>
              <w:rPr>
                <w:rFonts w:ascii="宋体" w:hAnsi="宋体" w:cs="宋体"/>
                <w:color w:val="190B16"/>
                <w:kern w:val="0"/>
                <w:szCs w:val="21"/>
              </w:rPr>
            </w:pPr>
            <w:r>
              <w:rPr>
                <w:rFonts w:hint="eastAsia" w:ascii="宋体" w:hAnsi="宋体" w:cs="宋体"/>
                <w:b/>
                <w:bCs/>
                <w:color w:val="190B16"/>
                <w:kern w:val="0"/>
                <w:szCs w:val="21"/>
              </w:rPr>
              <w:t>执业行业</w:t>
            </w:r>
          </w:p>
        </w:tc>
      </w:tr>
      <w:tr w14:paraId="59FFDA2F">
        <w:tblPrEx>
          <w:tblCellMar>
            <w:top w:w="0" w:type="dxa"/>
            <w:left w:w="0" w:type="dxa"/>
            <w:bottom w:w="0" w:type="dxa"/>
            <w:right w:w="0" w:type="dxa"/>
          </w:tblCellMar>
        </w:tblPrEx>
        <w:tc>
          <w:tcPr>
            <w:tcW w:w="504" w:type="dxa"/>
            <w:tcBorders>
              <w:top w:val="nil"/>
              <w:left w:val="single" w:color="190B16" w:sz="4" w:space="0"/>
              <w:bottom w:val="single" w:color="190B16" w:sz="4" w:space="0"/>
              <w:right w:val="single" w:color="190B16" w:sz="4" w:space="0"/>
            </w:tcBorders>
            <w:shd w:val="clear" w:color="auto" w:fill="FFFFFF"/>
            <w:noWrap w:val="0"/>
            <w:vAlign w:val="center"/>
          </w:tcPr>
          <w:p w14:paraId="04C040A1">
            <w:pPr>
              <w:widowControl/>
              <w:spacing w:before="108" w:after="108" w:line="384" w:lineRule="atLeast"/>
              <w:jc w:val="center"/>
              <w:rPr>
                <w:rFonts w:ascii="宋体" w:hAnsi="宋体" w:cs="宋体"/>
                <w:color w:val="190B16"/>
                <w:kern w:val="0"/>
                <w:szCs w:val="21"/>
              </w:rPr>
            </w:pPr>
            <w:r>
              <w:rPr>
                <w:rFonts w:hint="eastAsia" w:ascii="宋体" w:hAnsi="宋体" w:cs="宋体"/>
                <w:color w:val="190B16"/>
                <w:kern w:val="0"/>
                <w:szCs w:val="21"/>
              </w:rPr>
              <w:t>1</w:t>
            </w:r>
          </w:p>
        </w:tc>
        <w:tc>
          <w:tcPr>
            <w:tcW w:w="1896" w:type="dxa"/>
            <w:tcBorders>
              <w:top w:val="nil"/>
              <w:left w:val="nil"/>
              <w:bottom w:val="single" w:color="190B16" w:sz="4" w:space="0"/>
              <w:right w:val="single" w:color="190B16" w:sz="4" w:space="0"/>
            </w:tcBorders>
            <w:shd w:val="clear" w:color="auto" w:fill="FFFFFF"/>
            <w:noWrap w:val="0"/>
            <w:vAlign w:val="center"/>
          </w:tcPr>
          <w:p w14:paraId="63E7FB1D">
            <w:pPr>
              <w:widowControl/>
              <w:spacing w:before="108" w:after="108" w:line="384" w:lineRule="atLeast"/>
              <w:jc w:val="center"/>
              <w:rPr>
                <w:rFonts w:ascii="宋体" w:hAnsi="宋体" w:cs="宋体"/>
                <w:color w:val="190B16"/>
                <w:kern w:val="0"/>
                <w:szCs w:val="21"/>
              </w:rPr>
            </w:pPr>
            <w:r>
              <w:rPr>
                <w:rFonts w:hint="eastAsia" w:ascii="宋体" w:hAnsi="宋体" w:cs="宋体"/>
                <w:color w:val="190B16"/>
                <w:kern w:val="0"/>
                <w:szCs w:val="21"/>
              </w:rPr>
              <w:t>煤矿安全</w:t>
            </w:r>
          </w:p>
        </w:tc>
        <w:tc>
          <w:tcPr>
            <w:tcW w:w="3888" w:type="dxa"/>
            <w:tcBorders>
              <w:top w:val="nil"/>
              <w:left w:val="nil"/>
              <w:bottom w:val="single" w:color="190B16" w:sz="4" w:space="0"/>
              <w:right w:val="single" w:color="190B16" w:sz="4" w:space="0"/>
            </w:tcBorders>
            <w:shd w:val="clear" w:color="auto" w:fill="FFFFFF"/>
            <w:noWrap w:val="0"/>
            <w:vAlign w:val="center"/>
          </w:tcPr>
          <w:p w14:paraId="30852FFA">
            <w:pPr>
              <w:widowControl/>
              <w:spacing w:before="108" w:after="108" w:line="384" w:lineRule="atLeast"/>
              <w:jc w:val="center"/>
              <w:rPr>
                <w:rFonts w:ascii="宋体" w:hAnsi="宋体" w:cs="宋体"/>
                <w:color w:val="190B16"/>
                <w:kern w:val="0"/>
                <w:szCs w:val="21"/>
              </w:rPr>
            </w:pPr>
            <w:r>
              <w:rPr>
                <w:rFonts w:hint="eastAsia" w:ascii="宋体" w:hAnsi="宋体" w:cs="宋体"/>
                <w:color w:val="190B16"/>
                <w:kern w:val="0"/>
                <w:szCs w:val="21"/>
              </w:rPr>
              <w:t>煤炭行业</w:t>
            </w:r>
          </w:p>
        </w:tc>
      </w:tr>
      <w:tr w14:paraId="05622ACB">
        <w:tblPrEx>
          <w:tblCellMar>
            <w:top w:w="0" w:type="dxa"/>
            <w:left w:w="0" w:type="dxa"/>
            <w:bottom w:w="0" w:type="dxa"/>
            <w:right w:w="0" w:type="dxa"/>
          </w:tblCellMar>
        </w:tblPrEx>
        <w:tc>
          <w:tcPr>
            <w:tcW w:w="504" w:type="dxa"/>
            <w:tcBorders>
              <w:top w:val="nil"/>
              <w:left w:val="single" w:color="190B16" w:sz="4" w:space="0"/>
              <w:bottom w:val="single" w:color="190B16" w:sz="4" w:space="0"/>
              <w:right w:val="single" w:color="190B16" w:sz="4" w:space="0"/>
            </w:tcBorders>
            <w:shd w:val="clear" w:color="auto" w:fill="FFFFFF"/>
            <w:noWrap w:val="0"/>
            <w:vAlign w:val="center"/>
          </w:tcPr>
          <w:p w14:paraId="6152FE56">
            <w:pPr>
              <w:widowControl/>
              <w:spacing w:before="108" w:after="108" w:line="384" w:lineRule="atLeast"/>
              <w:jc w:val="center"/>
              <w:rPr>
                <w:rFonts w:ascii="宋体" w:hAnsi="宋体" w:cs="宋体"/>
                <w:color w:val="190B16"/>
                <w:kern w:val="0"/>
                <w:szCs w:val="21"/>
              </w:rPr>
            </w:pPr>
            <w:r>
              <w:rPr>
                <w:rFonts w:hint="eastAsia" w:ascii="宋体" w:hAnsi="宋体" w:cs="宋体"/>
                <w:color w:val="190B16"/>
                <w:kern w:val="0"/>
                <w:szCs w:val="21"/>
              </w:rPr>
              <w:t>2</w:t>
            </w:r>
          </w:p>
        </w:tc>
        <w:tc>
          <w:tcPr>
            <w:tcW w:w="1896" w:type="dxa"/>
            <w:tcBorders>
              <w:top w:val="nil"/>
              <w:left w:val="nil"/>
              <w:bottom w:val="single" w:color="190B16" w:sz="4" w:space="0"/>
              <w:right w:val="single" w:color="190B16" w:sz="4" w:space="0"/>
            </w:tcBorders>
            <w:shd w:val="clear" w:color="auto" w:fill="FFFFFF"/>
            <w:noWrap w:val="0"/>
            <w:vAlign w:val="center"/>
          </w:tcPr>
          <w:p w14:paraId="41959C8D">
            <w:pPr>
              <w:widowControl/>
              <w:spacing w:before="108" w:after="108" w:line="384" w:lineRule="atLeast"/>
              <w:jc w:val="center"/>
              <w:rPr>
                <w:rFonts w:ascii="宋体" w:hAnsi="宋体" w:cs="宋体"/>
                <w:color w:val="190B16"/>
                <w:kern w:val="0"/>
                <w:szCs w:val="21"/>
              </w:rPr>
            </w:pPr>
            <w:r>
              <w:rPr>
                <w:rFonts w:hint="eastAsia" w:ascii="宋体" w:hAnsi="宋体" w:cs="宋体"/>
                <w:color w:val="190B16"/>
                <w:kern w:val="0"/>
                <w:szCs w:val="21"/>
              </w:rPr>
              <w:t>金属非金属矿山安全</w:t>
            </w:r>
          </w:p>
        </w:tc>
        <w:tc>
          <w:tcPr>
            <w:tcW w:w="3888" w:type="dxa"/>
            <w:tcBorders>
              <w:top w:val="nil"/>
              <w:left w:val="nil"/>
              <w:bottom w:val="single" w:color="190B16" w:sz="4" w:space="0"/>
              <w:right w:val="single" w:color="190B16" w:sz="4" w:space="0"/>
            </w:tcBorders>
            <w:shd w:val="clear" w:color="auto" w:fill="FFFFFF"/>
            <w:noWrap w:val="0"/>
            <w:vAlign w:val="center"/>
          </w:tcPr>
          <w:p w14:paraId="08341C7E">
            <w:pPr>
              <w:widowControl/>
              <w:spacing w:before="108" w:after="108" w:line="384" w:lineRule="atLeast"/>
              <w:jc w:val="center"/>
              <w:rPr>
                <w:rFonts w:ascii="宋体" w:hAnsi="宋体" w:cs="宋体"/>
                <w:color w:val="190B16"/>
                <w:kern w:val="0"/>
                <w:szCs w:val="21"/>
              </w:rPr>
            </w:pPr>
            <w:r>
              <w:rPr>
                <w:rFonts w:hint="eastAsia" w:ascii="宋体" w:hAnsi="宋体" w:cs="宋体"/>
                <w:color w:val="190B16"/>
                <w:kern w:val="0"/>
                <w:szCs w:val="21"/>
              </w:rPr>
              <w:t>金属非金属矿山行业</w:t>
            </w:r>
          </w:p>
        </w:tc>
      </w:tr>
      <w:tr w14:paraId="3A3F0790">
        <w:tblPrEx>
          <w:shd w:val="clear" w:color="auto" w:fill="FFFFFF"/>
          <w:tblCellMar>
            <w:top w:w="0" w:type="dxa"/>
            <w:left w:w="0" w:type="dxa"/>
            <w:bottom w:w="0" w:type="dxa"/>
            <w:right w:w="0" w:type="dxa"/>
          </w:tblCellMar>
        </w:tblPrEx>
        <w:tc>
          <w:tcPr>
            <w:tcW w:w="504" w:type="dxa"/>
            <w:tcBorders>
              <w:top w:val="nil"/>
              <w:left w:val="single" w:color="190B16" w:sz="4" w:space="0"/>
              <w:bottom w:val="single" w:color="190B16" w:sz="4" w:space="0"/>
              <w:right w:val="single" w:color="190B16" w:sz="4" w:space="0"/>
            </w:tcBorders>
            <w:shd w:val="clear" w:color="auto" w:fill="FFFFFF"/>
            <w:noWrap w:val="0"/>
            <w:vAlign w:val="center"/>
          </w:tcPr>
          <w:p w14:paraId="0DB99037">
            <w:pPr>
              <w:widowControl/>
              <w:spacing w:before="108" w:after="108" w:line="384" w:lineRule="atLeast"/>
              <w:jc w:val="center"/>
              <w:rPr>
                <w:rFonts w:ascii="宋体" w:hAnsi="宋体" w:cs="宋体"/>
                <w:color w:val="190B16"/>
                <w:kern w:val="0"/>
                <w:szCs w:val="21"/>
              </w:rPr>
            </w:pPr>
            <w:r>
              <w:rPr>
                <w:rFonts w:hint="eastAsia" w:ascii="宋体" w:hAnsi="宋体" w:cs="宋体"/>
                <w:color w:val="190B16"/>
                <w:kern w:val="0"/>
                <w:szCs w:val="21"/>
              </w:rPr>
              <w:t>3</w:t>
            </w:r>
          </w:p>
        </w:tc>
        <w:tc>
          <w:tcPr>
            <w:tcW w:w="1896" w:type="dxa"/>
            <w:tcBorders>
              <w:top w:val="nil"/>
              <w:left w:val="nil"/>
              <w:bottom w:val="single" w:color="190B16" w:sz="4" w:space="0"/>
              <w:right w:val="single" w:color="190B16" w:sz="4" w:space="0"/>
            </w:tcBorders>
            <w:shd w:val="clear" w:color="auto" w:fill="FFFFFF"/>
            <w:noWrap w:val="0"/>
            <w:vAlign w:val="center"/>
          </w:tcPr>
          <w:p w14:paraId="0853E441">
            <w:pPr>
              <w:widowControl/>
              <w:spacing w:before="108" w:after="108" w:line="384" w:lineRule="atLeast"/>
              <w:jc w:val="center"/>
              <w:rPr>
                <w:rFonts w:ascii="宋体" w:hAnsi="宋体" w:cs="宋体"/>
                <w:color w:val="190B16"/>
                <w:kern w:val="0"/>
                <w:szCs w:val="21"/>
              </w:rPr>
            </w:pPr>
            <w:r>
              <w:rPr>
                <w:rFonts w:hint="eastAsia" w:ascii="宋体" w:hAnsi="宋体" w:cs="宋体"/>
                <w:color w:val="190B16"/>
                <w:kern w:val="0"/>
                <w:szCs w:val="21"/>
              </w:rPr>
              <w:t>化工安全</w:t>
            </w:r>
          </w:p>
        </w:tc>
        <w:tc>
          <w:tcPr>
            <w:tcW w:w="3888" w:type="dxa"/>
            <w:tcBorders>
              <w:top w:val="nil"/>
              <w:left w:val="nil"/>
              <w:bottom w:val="single" w:color="190B16" w:sz="4" w:space="0"/>
              <w:right w:val="single" w:color="190B16" w:sz="4" w:space="0"/>
            </w:tcBorders>
            <w:shd w:val="clear" w:color="auto" w:fill="FFFFFF"/>
            <w:noWrap w:val="0"/>
            <w:vAlign w:val="center"/>
          </w:tcPr>
          <w:p w14:paraId="22715989">
            <w:pPr>
              <w:widowControl/>
              <w:spacing w:before="108" w:after="108" w:line="384" w:lineRule="atLeast"/>
              <w:jc w:val="center"/>
              <w:rPr>
                <w:rFonts w:ascii="宋体" w:hAnsi="宋体" w:cs="宋体"/>
                <w:color w:val="190B16"/>
                <w:kern w:val="0"/>
                <w:szCs w:val="21"/>
              </w:rPr>
            </w:pPr>
            <w:r>
              <w:rPr>
                <w:rFonts w:hint="eastAsia" w:ascii="宋体" w:hAnsi="宋体" w:cs="宋体"/>
                <w:color w:val="190B16"/>
                <w:kern w:val="0"/>
                <w:szCs w:val="21"/>
              </w:rPr>
              <w:t>化工、医药等行业（包括危险化学品生产、储存，石油天然气储存）</w:t>
            </w:r>
          </w:p>
        </w:tc>
      </w:tr>
      <w:tr w14:paraId="67F02919">
        <w:tblPrEx>
          <w:tblCellMar>
            <w:top w:w="0" w:type="dxa"/>
            <w:left w:w="0" w:type="dxa"/>
            <w:bottom w:w="0" w:type="dxa"/>
            <w:right w:w="0" w:type="dxa"/>
          </w:tblCellMar>
        </w:tblPrEx>
        <w:tc>
          <w:tcPr>
            <w:tcW w:w="504" w:type="dxa"/>
            <w:tcBorders>
              <w:top w:val="nil"/>
              <w:left w:val="single" w:color="190B16" w:sz="4" w:space="0"/>
              <w:bottom w:val="single" w:color="190B16" w:sz="4" w:space="0"/>
              <w:right w:val="single" w:color="190B16" w:sz="4" w:space="0"/>
            </w:tcBorders>
            <w:shd w:val="clear" w:color="auto" w:fill="FFFFFF"/>
            <w:noWrap w:val="0"/>
            <w:vAlign w:val="center"/>
          </w:tcPr>
          <w:p w14:paraId="14F4DCEE">
            <w:pPr>
              <w:widowControl/>
              <w:spacing w:before="108" w:after="108" w:line="384" w:lineRule="atLeast"/>
              <w:jc w:val="center"/>
              <w:rPr>
                <w:rFonts w:ascii="宋体" w:hAnsi="宋体" w:cs="宋体"/>
                <w:color w:val="190B16"/>
                <w:kern w:val="0"/>
                <w:szCs w:val="21"/>
              </w:rPr>
            </w:pPr>
            <w:r>
              <w:rPr>
                <w:rFonts w:hint="eastAsia" w:ascii="宋体" w:hAnsi="宋体" w:cs="宋体"/>
                <w:color w:val="190B16"/>
                <w:kern w:val="0"/>
                <w:szCs w:val="21"/>
              </w:rPr>
              <w:t>4</w:t>
            </w:r>
          </w:p>
        </w:tc>
        <w:tc>
          <w:tcPr>
            <w:tcW w:w="1896" w:type="dxa"/>
            <w:tcBorders>
              <w:top w:val="nil"/>
              <w:left w:val="nil"/>
              <w:bottom w:val="single" w:color="190B16" w:sz="4" w:space="0"/>
              <w:right w:val="single" w:color="190B16" w:sz="4" w:space="0"/>
            </w:tcBorders>
            <w:shd w:val="clear" w:color="auto" w:fill="FFFFFF"/>
            <w:noWrap w:val="0"/>
            <w:vAlign w:val="center"/>
          </w:tcPr>
          <w:p w14:paraId="558233E4">
            <w:pPr>
              <w:widowControl/>
              <w:spacing w:before="108" w:after="108" w:line="384" w:lineRule="atLeast"/>
              <w:jc w:val="center"/>
              <w:rPr>
                <w:rFonts w:ascii="宋体" w:hAnsi="宋体" w:cs="宋体"/>
                <w:color w:val="190B16"/>
                <w:kern w:val="0"/>
                <w:szCs w:val="21"/>
              </w:rPr>
            </w:pPr>
            <w:r>
              <w:rPr>
                <w:rFonts w:hint="eastAsia" w:ascii="宋体" w:hAnsi="宋体" w:cs="宋体"/>
                <w:color w:val="190B16"/>
                <w:kern w:val="0"/>
                <w:szCs w:val="21"/>
              </w:rPr>
              <w:t>金属冶炼安全</w:t>
            </w:r>
          </w:p>
        </w:tc>
        <w:tc>
          <w:tcPr>
            <w:tcW w:w="3888" w:type="dxa"/>
            <w:tcBorders>
              <w:top w:val="nil"/>
              <w:left w:val="nil"/>
              <w:bottom w:val="single" w:color="190B16" w:sz="4" w:space="0"/>
              <w:right w:val="single" w:color="190B16" w:sz="4" w:space="0"/>
            </w:tcBorders>
            <w:shd w:val="clear" w:color="auto" w:fill="FFFFFF"/>
            <w:noWrap w:val="0"/>
            <w:vAlign w:val="center"/>
          </w:tcPr>
          <w:p w14:paraId="5932A9C2">
            <w:pPr>
              <w:widowControl/>
              <w:spacing w:before="108" w:after="108" w:line="384" w:lineRule="atLeast"/>
              <w:jc w:val="center"/>
              <w:rPr>
                <w:rFonts w:ascii="宋体" w:hAnsi="宋体" w:cs="宋体"/>
                <w:color w:val="190B16"/>
                <w:kern w:val="0"/>
                <w:szCs w:val="21"/>
              </w:rPr>
            </w:pPr>
            <w:r>
              <w:rPr>
                <w:rFonts w:hint="eastAsia" w:ascii="宋体" w:hAnsi="宋体" w:cs="宋体"/>
                <w:color w:val="190B16"/>
                <w:kern w:val="0"/>
                <w:szCs w:val="21"/>
              </w:rPr>
              <w:t>冶金、有色冶炼行业</w:t>
            </w:r>
          </w:p>
        </w:tc>
      </w:tr>
      <w:tr w14:paraId="2B2CBA4E">
        <w:tblPrEx>
          <w:shd w:val="clear" w:color="auto" w:fill="FFFFFF"/>
          <w:tblCellMar>
            <w:top w:w="0" w:type="dxa"/>
            <w:left w:w="0" w:type="dxa"/>
            <w:bottom w:w="0" w:type="dxa"/>
            <w:right w:w="0" w:type="dxa"/>
          </w:tblCellMar>
        </w:tblPrEx>
        <w:tc>
          <w:tcPr>
            <w:tcW w:w="504" w:type="dxa"/>
            <w:tcBorders>
              <w:top w:val="nil"/>
              <w:left w:val="single" w:color="190B16" w:sz="4" w:space="0"/>
              <w:bottom w:val="single" w:color="190B16" w:sz="4" w:space="0"/>
              <w:right w:val="single" w:color="190B16" w:sz="4" w:space="0"/>
            </w:tcBorders>
            <w:shd w:val="clear" w:color="auto" w:fill="FFFFFF"/>
            <w:noWrap w:val="0"/>
            <w:vAlign w:val="center"/>
          </w:tcPr>
          <w:p w14:paraId="7206786C">
            <w:pPr>
              <w:widowControl/>
              <w:spacing w:before="108" w:after="108" w:line="384" w:lineRule="atLeast"/>
              <w:jc w:val="center"/>
              <w:rPr>
                <w:rFonts w:ascii="宋体" w:hAnsi="宋体" w:cs="宋体"/>
                <w:color w:val="190B16"/>
                <w:kern w:val="0"/>
                <w:szCs w:val="21"/>
              </w:rPr>
            </w:pPr>
            <w:r>
              <w:rPr>
                <w:rFonts w:hint="eastAsia" w:ascii="宋体" w:hAnsi="宋体" w:cs="宋体"/>
                <w:color w:val="190B16"/>
                <w:kern w:val="0"/>
                <w:szCs w:val="21"/>
              </w:rPr>
              <w:t>5</w:t>
            </w:r>
          </w:p>
        </w:tc>
        <w:tc>
          <w:tcPr>
            <w:tcW w:w="1896" w:type="dxa"/>
            <w:tcBorders>
              <w:top w:val="nil"/>
              <w:left w:val="nil"/>
              <w:bottom w:val="single" w:color="190B16" w:sz="4" w:space="0"/>
              <w:right w:val="single" w:color="190B16" w:sz="4" w:space="0"/>
            </w:tcBorders>
            <w:shd w:val="clear" w:color="auto" w:fill="FFFFFF"/>
            <w:noWrap w:val="0"/>
            <w:vAlign w:val="center"/>
          </w:tcPr>
          <w:p w14:paraId="133CD041">
            <w:pPr>
              <w:widowControl/>
              <w:spacing w:before="108" w:after="108" w:line="384" w:lineRule="atLeast"/>
              <w:jc w:val="center"/>
              <w:rPr>
                <w:rFonts w:ascii="宋体" w:hAnsi="宋体" w:cs="宋体"/>
                <w:color w:val="190B16"/>
                <w:kern w:val="0"/>
                <w:szCs w:val="21"/>
              </w:rPr>
            </w:pPr>
            <w:r>
              <w:rPr>
                <w:rFonts w:hint="eastAsia" w:ascii="宋体" w:hAnsi="宋体" w:cs="宋体"/>
                <w:color w:val="190B16"/>
                <w:kern w:val="0"/>
                <w:szCs w:val="21"/>
              </w:rPr>
              <w:t>建筑施工安全</w:t>
            </w:r>
          </w:p>
        </w:tc>
        <w:tc>
          <w:tcPr>
            <w:tcW w:w="3888" w:type="dxa"/>
            <w:tcBorders>
              <w:top w:val="nil"/>
              <w:left w:val="nil"/>
              <w:bottom w:val="single" w:color="190B16" w:sz="4" w:space="0"/>
              <w:right w:val="single" w:color="190B16" w:sz="4" w:space="0"/>
            </w:tcBorders>
            <w:shd w:val="clear" w:color="auto" w:fill="FFFFFF"/>
            <w:noWrap w:val="0"/>
            <w:vAlign w:val="center"/>
          </w:tcPr>
          <w:p w14:paraId="61DD0C95">
            <w:pPr>
              <w:widowControl/>
              <w:spacing w:before="108" w:after="108" w:line="384" w:lineRule="atLeast"/>
              <w:jc w:val="center"/>
              <w:rPr>
                <w:rFonts w:ascii="宋体" w:hAnsi="宋体" w:cs="宋体"/>
                <w:color w:val="190B16"/>
                <w:kern w:val="0"/>
                <w:szCs w:val="21"/>
              </w:rPr>
            </w:pPr>
            <w:r>
              <w:rPr>
                <w:rFonts w:hint="eastAsia" w:ascii="宋体" w:hAnsi="宋体" w:cs="宋体"/>
                <w:color w:val="190B16"/>
                <w:kern w:val="0"/>
                <w:szCs w:val="21"/>
              </w:rPr>
              <w:t>建设工程各行业</w:t>
            </w:r>
          </w:p>
        </w:tc>
      </w:tr>
      <w:tr w14:paraId="0C5051AC">
        <w:tblPrEx>
          <w:shd w:val="clear" w:color="auto" w:fill="FFFFFF"/>
          <w:tblCellMar>
            <w:top w:w="0" w:type="dxa"/>
            <w:left w:w="0" w:type="dxa"/>
            <w:bottom w:w="0" w:type="dxa"/>
            <w:right w:w="0" w:type="dxa"/>
          </w:tblCellMar>
        </w:tblPrEx>
        <w:tc>
          <w:tcPr>
            <w:tcW w:w="504" w:type="dxa"/>
            <w:tcBorders>
              <w:top w:val="nil"/>
              <w:left w:val="single" w:color="190B16" w:sz="4" w:space="0"/>
              <w:bottom w:val="single" w:color="190B16" w:sz="4" w:space="0"/>
              <w:right w:val="single" w:color="190B16" w:sz="4" w:space="0"/>
            </w:tcBorders>
            <w:shd w:val="clear" w:color="auto" w:fill="FFFFFF"/>
            <w:noWrap w:val="0"/>
            <w:vAlign w:val="center"/>
          </w:tcPr>
          <w:p w14:paraId="0D8260CB">
            <w:pPr>
              <w:widowControl/>
              <w:spacing w:before="108" w:after="108" w:line="384" w:lineRule="atLeast"/>
              <w:jc w:val="center"/>
              <w:rPr>
                <w:rFonts w:ascii="宋体" w:hAnsi="宋体" w:cs="宋体"/>
                <w:color w:val="190B16"/>
                <w:kern w:val="0"/>
                <w:szCs w:val="21"/>
              </w:rPr>
            </w:pPr>
            <w:r>
              <w:rPr>
                <w:rFonts w:hint="eastAsia" w:ascii="宋体" w:hAnsi="宋体" w:cs="宋体"/>
                <w:color w:val="190B16"/>
                <w:kern w:val="0"/>
                <w:szCs w:val="21"/>
              </w:rPr>
              <w:t>6</w:t>
            </w:r>
          </w:p>
        </w:tc>
        <w:tc>
          <w:tcPr>
            <w:tcW w:w="1896" w:type="dxa"/>
            <w:tcBorders>
              <w:top w:val="nil"/>
              <w:left w:val="nil"/>
              <w:bottom w:val="single" w:color="190B16" w:sz="4" w:space="0"/>
              <w:right w:val="single" w:color="190B16" w:sz="4" w:space="0"/>
            </w:tcBorders>
            <w:shd w:val="clear" w:color="auto" w:fill="FFFFFF"/>
            <w:noWrap w:val="0"/>
            <w:vAlign w:val="center"/>
          </w:tcPr>
          <w:p w14:paraId="049B7CE2">
            <w:pPr>
              <w:widowControl/>
              <w:spacing w:before="108" w:after="108" w:line="384" w:lineRule="atLeast"/>
              <w:jc w:val="center"/>
              <w:rPr>
                <w:rFonts w:ascii="宋体" w:hAnsi="宋体" w:cs="宋体"/>
                <w:color w:val="190B16"/>
                <w:kern w:val="0"/>
                <w:szCs w:val="21"/>
              </w:rPr>
            </w:pPr>
            <w:r>
              <w:rPr>
                <w:rFonts w:hint="eastAsia" w:ascii="宋体" w:hAnsi="宋体" w:cs="宋体"/>
                <w:color w:val="190B16"/>
                <w:kern w:val="0"/>
                <w:szCs w:val="21"/>
              </w:rPr>
              <w:t>道路运输安全</w:t>
            </w:r>
          </w:p>
        </w:tc>
        <w:tc>
          <w:tcPr>
            <w:tcW w:w="3888" w:type="dxa"/>
            <w:tcBorders>
              <w:top w:val="nil"/>
              <w:left w:val="nil"/>
              <w:bottom w:val="single" w:color="190B16" w:sz="4" w:space="0"/>
              <w:right w:val="single" w:color="190B16" w:sz="4" w:space="0"/>
            </w:tcBorders>
            <w:shd w:val="clear" w:color="auto" w:fill="FFFFFF"/>
            <w:noWrap w:val="0"/>
            <w:vAlign w:val="center"/>
          </w:tcPr>
          <w:p w14:paraId="20F15E9D">
            <w:pPr>
              <w:widowControl/>
              <w:spacing w:before="108" w:after="108" w:line="384" w:lineRule="atLeast"/>
              <w:jc w:val="center"/>
              <w:rPr>
                <w:rFonts w:ascii="宋体" w:hAnsi="宋体" w:cs="宋体"/>
                <w:color w:val="190B16"/>
                <w:kern w:val="0"/>
                <w:szCs w:val="21"/>
              </w:rPr>
            </w:pPr>
            <w:r>
              <w:rPr>
                <w:rFonts w:hint="eastAsia" w:ascii="宋体" w:hAnsi="宋体" w:cs="宋体"/>
                <w:color w:val="190B16"/>
                <w:kern w:val="0"/>
                <w:szCs w:val="21"/>
              </w:rPr>
              <w:t>道路旅客运输、道路危险货物运输、道路普通货物运输、机动车维修和机动车驾驶培训行业</w:t>
            </w:r>
          </w:p>
        </w:tc>
      </w:tr>
      <w:tr w14:paraId="2F07FCC4">
        <w:tblPrEx>
          <w:shd w:val="clear" w:color="auto" w:fill="FFFFFF"/>
          <w:tblCellMar>
            <w:top w:w="0" w:type="dxa"/>
            <w:left w:w="0" w:type="dxa"/>
            <w:bottom w:w="0" w:type="dxa"/>
            <w:right w:w="0" w:type="dxa"/>
          </w:tblCellMar>
        </w:tblPrEx>
        <w:tc>
          <w:tcPr>
            <w:tcW w:w="504" w:type="dxa"/>
            <w:tcBorders>
              <w:top w:val="nil"/>
              <w:left w:val="single" w:color="190B16" w:sz="4" w:space="0"/>
              <w:bottom w:val="single" w:color="190B16" w:sz="4" w:space="0"/>
              <w:right w:val="single" w:color="190B16" w:sz="4" w:space="0"/>
            </w:tcBorders>
            <w:shd w:val="clear" w:color="auto" w:fill="FFFFFF"/>
            <w:noWrap w:val="0"/>
            <w:vAlign w:val="center"/>
          </w:tcPr>
          <w:p w14:paraId="57296CE7">
            <w:pPr>
              <w:widowControl/>
              <w:spacing w:before="108" w:after="108" w:line="384" w:lineRule="atLeast"/>
              <w:jc w:val="center"/>
              <w:rPr>
                <w:rFonts w:ascii="宋体" w:hAnsi="宋体" w:cs="宋体"/>
                <w:color w:val="190B16"/>
                <w:kern w:val="0"/>
                <w:szCs w:val="21"/>
              </w:rPr>
            </w:pPr>
            <w:r>
              <w:rPr>
                <w:rFonts w:hint="eastAsia" w:ascii="宋体" w:hAnsi="宋体" w:cs="宋体"/>
                <w:color w:val="190B16"/>
                <w:kern w:val="0"/>
                <w:szCs w:val="21"/>
              </w:rPr>
              <w:t>7</w:t>
            </w:r>
          </w:p>
        </w:tc>
        <w:tc>
          <w:tcPr>
            <w:tcW w:w="1896" w:type="dxa"/>
            <w:tcBorders>
              <w:top w:val="nil"/>
              <w:left w:val="nil"/>
              <w:bottom w:val="single" w:color="190B16" w:sz="4" w:space="0"/>
              <w:right w:val="single" w:color="190B16" w:sz="4" w:space="0"/>
            </w:tcBorders>
            <w:shd w:val="clear" w:color="auto" w:fill="FFFFFF"/>
            <w:noWrap w:val="0"/>
            <w:vAlign w:val="center"/>
          </w:tcPr>
          <w:p w14:paraId="2DF209CA">
            <w:pPr>
              <w:widowControl/>
              <w:spacing w:before="108" w:after="108" w:line="384" w:lineRule="atLeast"/>
              <w:jc w:val="center"/>
              <w:rPr>
                <w:rFonts w:ascii="宋体" w:hAnsi="宋体" w:cs="宋体"/>
                <w:color w:val="190B16"/>
                <w:kern w:val="0"/>
                <w:szCs w:val="21"/>
              </w:rPr>
            </w:pPr>
            <w:r>
              <w:rPr>
                <w:rFonts w:hint="eastAsia" w:ascii="宋体" w:hAnsi="宋体" w:cs="宋体"/>
                <w:color w:val="190B16"/>
                <w:kern w:val="0"/>
                <w:szCs w:val="21"/>
              </w:rPr>
              <w:t>其他安全（不包括消防安全）</w:t>
            </w:r>
          </w:p>
        </w:tc>
        <w:tc>
          <w:tcPr>
            <w:tcW w:w="3888" w:type="dxa"/>
            <w:tcBorders>
              <w:top w:val="nil"/>
              <w:left w:val="nil"/>
              <w:bottom w:val="single" w:color="190B16" w:sz="4" w:space="0"/>
              <w:right w:val="single" w:color="190B16" w:sz="4" w:space="0"/>
            </w:tcBorders>
            <w:shd w:val="clear" w:color="auto" w:fill="FFFFFF"/>
            <w:noWrap w:val="0"/>
            <w:vAlign w:val="center"/>
          </w:tcPr>
          <w:p w14:paraId="36D5607E">
            <w:pPr>
              <w:widowControl/>
              <w:spacing w:before="108" w:after="108" w:line="384" w:lineRule="atLeast"/>
              <w:jc w:val="center"/>
              <w:rPr>
                <w:rFonts w:ascii="宋体" w:hAnsi="宋体" w:cs="宋体"/>
                <w:color w:val="190B16"/>
                <w:kern w:val="0"/>
                <w:szCs w:val="21"/>
              </w:rPr>
            </w:pPr>
            <w:r>
              <w:rPr>
                <w:rFonts w:hint="eastAsia" w:ascii="宋体" w:hAnsi="宋体" w:cs="宋体"/>
                <w:color w:val="190B16"/>
                <w:kern w:val="0"/>
                <w:szCs w:val="21"/>
              </w:rPr>
              <w:t>除上述行业以外的烟花爆竹、民用爆炸物品、石油天然气开采、燃气、电力等其他行业</w:t>
            </w:r>
          </w:p>
        </w:tc>
      </w:tr>
    </w:tbl>
    <w:p w14:paraId="162F1B45">
      <w:pPr>
        <w:widowControl/>
        <w:shd w:val="clear" w:color="auto" w:fill="FFFFFF"/>
        <w:spacing w:before="108" w:after="108" w:line="384" w:lineRule="atLeast"/>
        <w:ind w:firstLine="384"/>
        <w:jc w:val="left"/>
        <w:rPr>
          <w:rFonts w:hint="eastAsia" w:ascii="宋体" w:hAnsi="宋体" w:cs="宋体"/>
          <w:color w:val="2D0201"/>
          <w:kern w:val="0"/>
          <w:szCs w:val="21"/>
        </w:rPr>
      </w:pPr>
      <w:r>
        <w:rPr>
          <w:rFonts w:hint="eastAsia" w:ascii="宋体" w:hAnsi="宋体" w:cs="宋体"/>
          <w:color w:val="2D0201"/>
          <w:kern w:val="0"/>
          <w:szCs w:val="21"/>
        </w:rPr>
        <w:t>原制度文件规定有效期内的各科目合格成绩有效期顺延，按照新制度规定的4年为一个周期进行管理。“安全生产法及相关法律知识”“安全生产管理知识”“安全生产技术”“安全生产事故案例分析”科目合格成绩分别对应“安全生产法律法规”“安全生产管理”“安全生产技术基础”“安全生产专业实务”科目合格成绩。</w:t>
      </w:r>
    </w:p>
    <w:p w14:paraId="4EBA7FFD">
      <w:pPr>
        <w:widowControl/>
        <w:shd w:val="clear" w:color="auto" w:fill="FFFFFF"/>
        <w:spacing w:before="108" w:after="108" w:line="384" w:lineRule="atLeast"/>
        <w:ind w:firstLine="384"/>
        <w:jc w:val="left"/>
        <w:rPr>
          <w:rFonts w:hint="eastAsia" w:ascii="宋体" w:hAnsi="宋体" w:cs="宋体"/>
          <w:color w:val="2D0201"/>
          <w:kern w:val="0"/>
          <w:szCs w:val="21"/>
        </w:rPr>
      </w:pPr>
      <w:r>
        <w:rPr>
          <w:rFonts w:hint="eastAsia" w:ascii="宋体" w:hAnsi="宋体" w:cs="宋体"/>
          <w:color w:val="2D0201"/>
          <w:kern w:val="0"/>
          <w:szCs w:val="21"/>
        </w:rPr>
        <w:t>按原制度文件报考条件报考2018年度注册安全工程师执业资格考试全部四个科目（考全科）且取得部分考试科目合格成绩的人员（含中专学历人员），继续报考中级注册安全工程师职业资格考试全部四个科目（考全科）时，其2018年度及之后年度取得的各科目合格成绩有效期均按新制度规定的4年为一个周期进行管理。</w:t>
      </w:r>
    </w:p>
    <w:p w14:paraId="5F6DE0F4">
      <w:pPr>
        <w:widowControl/>
        <w:shd w:val="clear" w:color="auto" w:fill="FFFFFF"/>
        <w:spacing w:before="108" w:after="108" w:line="384" w:lineRule="atLeast"/>
        <w:ind w:firstLine="384"/>
        <w:jc w:val="left"/>
        <w:rPr>
          <w:rFonts w:hint="eastAsia" w:ascii="宋体" w:hAnsi="宋体" w:cs="宋体"/>
          <w:color w:val="2D0201"/>
          <w:kern w:val="0"/>
          <w:szCs w:val="21"/>
        </w:rPr>
      </w:pPr>
      <w:r>
        <w:rPr>
          <w:rFonts w:hint="eastAsia" w:ascii="宋体" w:hAnsi="宋体" w:cs="宋体"/>
          <w:color w:val="2D0201"/>
          <w:kern w:val="0"/>
          <w:szCs w:val="21"/>
        </w:rPr>
        <w:t>已经取得注册安全工程师执业资格证书或中级注册安全工程师职业资格证书的人员（含中专学历人员），可以报名参加其他专业类别考试（增报专业）。</w:t>
      </w:r>
    </w:p>
    <w:p w14:paraId="61273AA1">
      <w:pPr>
        <w:widowControl/>
        <w:shd w:val="clear" w:color="auto" w:fill="FFFFFF"/>
        <w:spacing w:before="108" w:after="108" w:line="384" w:lineRule="atLeast"/>
        <w:ind w:firstLine="384"/>
        <w:jc w:val="left"/>
        <w:rPr>
          <w:rFonts w:hint="eastAsia" w:ascii="宋体" w:hAnsi="宋体" w:cs="宋体"/>
          <w:color w:val="2D0201"/>
          <w:kern w:val="0"/>
          <w:szCs w:val="21"/>
        </w:rPr>
      </w:pPr>
      <w:r>
        <w:rPr>
          <w:rFonts w:hint="eastAsia" w:ascii="宋体" w:hAnsi="宋体" w:cs="宋体"/>
          <w:color w:val="2D0201"/>
          <w:kern w:val="0"/>
          <w:szCs w:val="21"/>
        </w:rPr>
        <w:t>报名条件中“安全工程及相关专业”，按照《应急管理部办公厅 关于印发〈注册安全工程师职业资格考试安全工程及相关专业参考目录〉的通知》（应急厅函〔2019〕410号）执行（附：“注册安全工程师职业资格考试安全工程及相关专业参考目录”）。</w:t>
      </w:r>
    </w:p>
    <w:p w14:paraId="63D66C91">
      <w:pPr>
        <w:spacing w:line="620" w:lineRule="exact"/>
        <w:rPr>
          <w:rFonts w:hint="eastAsia" w:eastAsia="黑体"/>
          <w:sz w:val="32"/>
          <w:szCs w:val="32"/>
        </w:rPr>
      </w:pPr>
      <w:r>
        <w:rPr>
          <w:rFonts w:hint="eastAsia" w:ascii="宋体" w:hAnsi="宋体" w:cs="宋体"/>
          <w:color w:val="2D0201"/>
          <w:kern w:val="0"/>
          <w:szCs w:val="21"/>
        </w:rPr>
        <w:t>**注册安全工程师职业资格考试安全工程及相关专业参考目录网址</w:t>
      </w:r>
      <w:r>
        <w:rPr>
          <w:rFonts w:ascii="宋体" w:hAnsi="宋体" w:cs="宋体"/>
          <w:color w:val="2D0201"/>
          <w:kern w:val="0"/>
          <w:szCs w:val="21"/>
        </w:rPr>
        <w:t>http://www.cpta.com.cn/testCondition/1254.html</w:t>
      </w:r>
    </w:p>
    <w:p w14:paraId="375C583F">
      <w:bookmarkStart w:id="0" w:name="_GoBack"/>
      <w:bookmarkEnd w:id="0"/>
    </w:p>
    <w:sectPr>
      <w:footerReference r:id="rId3" w:type="default"/>
      <w:footerReference r:id="rId4" w:type="even"/>
      <w:pgSz w:w="11906" w:h="16838"/>
      <w:pgMar w:top="2098" w:right="1474" w:bottom="1985" w:left="1588" w:header="851" w:footer="1588"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楷体_GB2312">
    <w:altName w:val="楷体"/>
    <w:panose1 w:val="02010609030101010101"/>
    <w:charset w:val="86"/>
    <w:family w:val="modern"/>
    <w:pitch w:val="default"/>
    <w:sig w:usb0="00000000" w:usb1="00000000" w:usb2="00000010" w:usb3="00000000" w:csb0="00040000" w:csb1="0000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F2A1DB0">
    <w:pPr>
      <w:pStyle w:val="3"/>
      <w:wordWrap w:val="0"/>
      <w:ind w:right="80" w:rightChars="38"/>
      <w:jc w:val="right"/>
      <w:rPr>
        <w:rFonts w:ascii="宋体" w:hAnsi="宋体"/>
        <w:sz w:val="28"/>
        <w:szCs w:val="28"/>
        <w:lang w:eastAsia="zh-CN"/>
      </w:rPr>
    </w:pPr>
    <w:r>
      <w:rPr>
        <w:rStyle w:val="6"/>
        <w:rFonts w:hint="eastAsia" w:ascii="宋体" w:hAnsi="宋体"/>
        <w:sz w:val="28"/>
        <w:szCs w:val="28"/>
      </w:rPr>
      <w:t xml:space="preserve">— </w:t>
    </w:r>
    <w:r>
      <w:rPr>
        <w:rStyle w:val="6"/>
        <w:rFonts w:ascii="宋体" w:hAnsi="宋体"/>
        <w:sz w:val="28"/>
        <w:szCs w:val="28"/>
      </w:rPr>
      <w:fldChar w:fldCharType="begin"/>
    </w:r>
    <w:r>
      <w:rPr>
        <w:rStyle w:val="6"/>
        <w:rFonts w:ascii="宋体" w:hAnsi="宋体"/>
        <w:sz w:val="28"/>
        <w:szCs w:val="28"/>
      </w:rPr>
      <w:instrText xml:space="preserve"> PAGE </w:instrText>
    </w:r>
    <w:r>
      <w:rPr>
        <w:rStyle w:val="6"/>
        <w:rFonts w:ascii="宋体" w:hAnsi="宋体"/>
        <w:sz w:val="28"/>
        <w:szCs w:val="28"/>
      </w:rPr>
      <w:fldChar w:fldCharType="separate"/>
    </w:r>
    <w:r>
      <w:rPr>
        <w:rStyle w:val="6"/>
        <w:rFonts w:ascii="宋体" w:hAnsi="宋体"/>
        <w:sz w:val="28"/>
        <w:szCs w:val="28"/>
      </w:rPr>
      <w:t>21</w:t>
    </w:r>
    <w:r>
      <w:rPr>
        <w:rStyle w:val="6"/>
        <w:rFonts w:ascii="宋体" w:hAnsi="宋体"/>
        <w:sz w:val="28"/>
        <w:szCs w:val="28"/>
      </w:rPr>
      <w:fldChar w:fldCharType="end"/>
    </w:r>
    <w:r>
      <w:rPr>
        <w:rStyle w:val="6"/>
        <w:rFonts w:hint="eastAsia" w:ascii="宋体" w:hAnsi="宋体"/>
        <w:sz w:val="28"/>
        <w:szCs w:val="28"/>
      </w:rPr>
      <w:t xml:space="preserve"> —  </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EFC6769">
    <w:pPr>
      <w:pStyle w:val="3"/>
      <w:ind w:firstLine="280" w:firstLineChars="100"/>
      <w:rPr>
        <w:rFonts w:ascii="宋体" w:hAnsi="宋体"/>
        <w:sz w:val="28"/>
        <w:szCs w:val="28"/>
        <w:lang w:eastAsia="zh-CN"/>
      </w:rPr>
    </w:pPr>
    <w:r>
      <w:rPr>
        <w:rStyle w:val="6"/>
        <w:rFonts w:hint="eastAsia" w:ascii="宋体" w:hAnsi="宋体"/>
        <w:sz w:val="28"/>
        <w:szCs w:val="28"/>
        <w:lang w:eastAsia="zh-CN"/>
      </w:rPr>
      <w:t>—</w:t>
    </w:r>
    <w:r>
      <w:rPr>
        <w:rStyle w:val="6"/>
        <w:rFonts w:hint="eastAsia" w:ascii="宋体" w:hAnsi="宋体"/>
        <w:sz w:val="28"/>
        <w:szCs w:val="28"/>
      </w:rPr>
      <w:t xml:space="preserve"> </w:t>
    </w:r>
    <w:r>
      <w:rPr>
        <w:rFonts w:ascii="宋体" w:hAnsi="宋体"/>
        <w:sz w:val="28"/>
        <w:szCs w:val="28"/>
      </w:rPr>
      <w:fldChar w:fldCharType="begin"/>
    </w:r>
    <w:r>
      <w:rPr>
        <w:rFonts w:ascii="宋体" w:hAnsi="宋体"/>
        <w:sz w:val="28"/>
        <w:szCs w:val="28"/>
      </w:rPr>
      <w:instrText xml:space="preserve"> PAGE   \* MERGEFORMAT </w:instrText>
    </w:r>
    <w:r>
      <w:rPr>
        <w:rFonts w:ascii="宋体" w:hAnsi="宋体"/>
        <w:sz w:val="28"/>
        <w:szCs w:val="28"/>
      </w:rPr>
      <w:fldChar w:fldCharType="separate"/>
    </w:r>
    <w:r>
      <w:rPr>
        <w:rFonts w:ascii="宋体" w:hAnsi="宋体"/>
        <w:sz w:val="28"/>
        <w:szCs w:val="28"/>
        <w:lang w:val="zh-CN"/>
      </w:rPr>
      <w:t>20</w:t>
    </w:r>
    <w:r>
      <w:rPr>
        <w:rFonts w:ascii="宋体" w:hAnsi="宋体"/>
        <w:sz w:val="28"/>
        <w:szCs w:val="28"/>
      </w:rPr>
      <w:fldChar w:fldCharType="end"/>
    </w:r>
    <w:r>
      <w:rPr>
        <w:rFonts w:hint="eastAsia" w:ascii="宋体" w:hAnsi="宋体"/>
        <w:sz w:val="28"/>
        <w:szCs w:val="28"/>
      </w:rPr>
      <w:t xml:space="preserve"> </w:t>
    </w:r>
    <w:r>
      <w:rPr>
        <w:rStyle w:val="6"/>
        <w:rFonts w:hint="eastAsia" w:ascii="宋体" w:hAnsi="宋体"/>
        <w:sz w:val="28"/>
        <w:szCs w:val="28"/>
      </w:rPr>
      <w:t>—</w: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3"/>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62DD095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5">
    <w:name w:val="Default Paragraph Font"/>
    <w:semiHidden/>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2">
    <w:name w:val="Body Text"/>
    <w:basedOn w:val="1"/>
    <w:qFormat/>
    <w:uiPriority w:val="0"/>
    <w:pPr>
      <w:spacing w:line="440" w:lineRule="exact"/>
    </w:pPr>
    <w:rPr>
      <w:rFonts w:ascii="楷体_GB2312" w:eastAsia="楷体_GB2312"/>
      <w:sz w:val="28"/>
    </w:rPr>
  </w:style>
  <w:style w:type="paragraph" w:styleId="3">
    <w:name w:val="footer"/>
    <w:basedOn w:val="1"/>
    <w:uiPriority w:val="99"/>
    <w:pPr>
      <w:tabs>
        <w:tab w:val="center" w:pos="4153"/>
        <w:tab w:val="right" w:pos="8306"/>
      </w:tabs>
      <w:snapToGrid w:val="0"/>
      <w:jc w:val="left"/>
    </w:pPr>
    <w:rPr>
      <w:sz w:val="18"/>
      <w:szCs w:val="18"/>
    </w:rPr>
  </w:style>
  <w:style w:type="character" w:styleId="6">
    <w:name w:val="page number"/>
    <w:basedOn w:val="5"/>
    <w:uiPriority w:val="0"/>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3</Pages>
  <Words>0</Words>
  <Characters>0</Characters>
  <Lines>0</Lines>
  <Paragraphs>0</Paragraphs>
  <TotalTime>0</TotalTime>
  <ScaleCrop>false</ScaleCrop>
  <LinksUpToDate>false</LinksUpToDate>
  <CharactersWithSpaces>0</CharactersWithSpaces>
  <Application>WPS Office_12.1.0.21915_F1E327BC-269C-435d-A152-05C5408002CA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2025-07-25T09:20:04Z</dcterms:created>
  <dc:creator>Administrator</dc:creator>
  <cp:lastModifiedBy>咕咚i</cp:lastModifiedBy>
  <dcterms:modified xsi:type="dcterms:W3CDTF">2025-07-25T09:21:48Z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2052-12.1.0.21915</vt:lpwstr>
  </property>
  <property fmtid="{D5CDD505-2E9C-101B-9397-08002B2CF9AE}" pid="3" name="KSOTemplateDocerSaveRecord">
    <vt:lpwstr>eyJoZGlkIjoiZmNmNzI3NWFiYmU0ZmZkN2NiODcyNDBkZGMwMzE1N2EiLCJ1c2VySWQiOiI1Njk5NTk1NjMifQ==</vt:lpwstr>
  </property>
  <property fmtid="{D5CDD505-2E9C-101B-9397-08002B2CF9AE}" pid="4" name="ICV">
    <vt:lpwstr>6606D1167D124903B1A9AA8D367A6918_12</vt:lpwstr>
  </property>
</Properties>
</file>