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pacing w:line="534" w:lineRule="atLeast"/>
        <w:rPr>
          <w:rFonts w:eastAsia="仿宋_GB2312"/>
          <w:kern w:val="0"/>
          <w:sz w:val="32"/>
          <w:szCs w:val="32"/>
        </w:rPr>
      </w:pPr>
      <w:r>
        <w:rPr>
          <w:rFonts w:hint="eastAsia" w:ascii="仿宋_GB2312" w:eastAsia="仿宋_GB2312"/>
          <w:kern w:val="0"/>
          <w:sz w:val="32"/>
          <w:szCs w:val="32"/>
        </w:rPr>
        <w:t>附件1</w:t>
      </w:r>
    </w:p>
    <w:p>
      <w:pPr>
        <w:autoSpaceDE w:val="0"/>
        <w:autoSpaceDN w:val="0"/>
        <w:adjustRightInd w:val="0"/>
        <w:jc w:val="center"/>
        <w:rPr>
          <w:rFonts w:ascii="仿宋_GB2312" w:eastAsia="仿宋_GB2312"/>
          <w:color w:val="000000"/>
          <w:kern w:val="0"/>
          <w:sz w:val="32"/>
          <w:szCs w:val="32"/>
        </w:rPr>
      </w:pPr>
    </w:p>
    <w:p>
      <w:pPr>
        <w:autoSpaceDE w:val="0"/>
        <w:autoSpaceDN w:val="0"/>
        <w:adjustRightInd w:val="0"/>
        <w:ind w:firstLine="158"/>
        <w:jc w:val="center"/>
        <w:rPr>
          <w:rFonts w:ascii="仿宋_GB2312" w:eastAsia="仿宋_GB2312"/>
          <w:b/>
          <w:kern w:val="0"/>
          <w:sz w:val="32"/>
          <w:szCs w:val="32"/>
        </w:rPr>
      </w:pPr>
      <w:bookmarkStart w:id="0" w:name="OLE_LINK1"/>
      <w:r>
        <w:rPr>
          <w:rFonts w:hint="eastAsia" w:ascii="仿宋_GB2312" w:eastAsia="仿宋_GB2312"/>
          <w:b/>
          <w:kern w:val="0"/>
          <w:sz w:val="32"/>
          <w:szCs w:val="32"/>
        </w:rPr>
        <w:t>2026年度注册计量师职业资格考试工作计划</w:t>
      </w:r>
      <w:bookmarkEnd w:id="0"/>
    </w:p>
    <w:p>
      <w:pPr>
        <w:autoSpaceDE w:val="0"/>
        <w:autoSpaceDN w:val="0"/>
        <w:adjustRightInd w:val="0"/>
        <w:ind w:firstLine="158"/>
        <w:jc w:val="left"/>
        <w:rPr>
          <w:rFonts w:ascii="仿宋_GB2312" w:eastAsia="仿宋_GB2312"/>
          <w:color w:val="000000"/>
          <w:kern w:val="0"/>
          <w:sz w:val="32"/>
          <w:szCs w:val="32"/>
        </w:rPr>
      </w:pPr>
    </w:p>
    <w:tbl>
      <w:tblPr>
        <w:tblStyle w:val="4"/>
        <w:tblpPr w:leftFromText="180" w:rightFromText="180" w:vertAnchor="text" w:horzAnchor="margin" w:tblpXSpec="center" w:tblpY="266"/>
        <w:tblW w:w="9180" w:type="dxa"/>
        <w:tblInd w:w="0" w:type="dxa"/>
        <w:tblBorders>
          <w:top w:val="single" w:color="000000" w:sz="8" w:space="0"/>
          <w:left w:val="single" w:color="000000" w:sz="8" w:space="0"/>
          <w:bottom w:val="none" w:color="auto" w:sz="0" w:space="0"/>
          <w:right w:val="single" w:color="000000" w:sz="8" w:space="0"/>
          <w:insideH w:val="none" w:color="auto" w:sz="0" w:space="0"/>
          <w:insideV w:val="none" w:color="auto" w:sz="0" w:space="0"/>
        </w:tblBorders>
        <w:tblLayout w:type="fixed"/>
        <w:tblCellMar>
          <w:top w:w="0" w:type="dxa"/>
          <w:left w:w="108" w:type="dxa"/>
          <w:bottom w:w="0" w:type="dxa"/>
          <w:right w:w="108" w:type="dxa"/>
        </w:tblCellMar>
      </w:tblPr>
      <w:tblGrid>
        <w:gridCol w:w="612"/>
        <w:gridCol w:w="1481"/>
        <w:gridCol w:w="7087"/>
      </w:tblGrid>
      <w:tr>
        <w:tblPrEx>
          <w:tblBorders>
            <w:top w:val="single" w:color="000000" w:sz="8"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843" w:hRule="atLeast"/>
        </w:trPr>
        <w:tc>
          <w:tcPr>
            <w:tcW w:w="2093" w:type="dxa"/>
            <w:gridSpan w:val="2"/>
            <w:tcBorders>
              <w:top w:val="single" w:color="auto" w:sz="4" w:space="0"/>
              <w:left w:val="single" w:color="auto" w:sz="4" w:space="0"/>
              <w:bottom w:val="single" w:color="000000" w:sz="4" w:space="0"/>
              <w:right w:val="single" w:color="000000" w:sz="4" w:space="0"/>
            </w:tcBorders>
            <w:noWrap w:val="0"/>
            <w:vAlign w:val="center"/>
          </w:tcPr>
          <w:p>
            <w:pPr>
              <w:autoSpaceDE w:val="0"/>
              <w:autoSpaceDN w:val="0"/>
              <w:jc w:val="center"/>
              <w:rPr>
                <w:rFonts w:ascii="仿宋_GB2312" w:eastAsia="仿宋_GB2312"/>
                <w:b/>
                <w:kern w:val="0"/>
                <w:sz w:val="32"/>
                <w:szCs w:val="32"/>
              </w:rPr>
            </w:pPr>
            <w:r>
              <w:rPr>
                <w:rFonts w:hint="eastAsia" w:ascii="仿宋_GB2312" w:eastAsia="仿宋_GB2312"/>
                <w:b/>
                <w:kern w:val="0"/>
                <w:sz w:val="32"/>
                <w:szCs w:val="32"/>
              </w:rPr>
              <w:t>时      间</w:t>
            </w:r>
          </w:p>
        </w:tc>
        <w:tc>
          <w:tcPr>
            <w:tcW w:w="7087" w:type="dxa"/>
            <w:tcBorders>
              <w:top w:val="single" w:color="auto" w:sz="4" w:space="0"/>
              <w:left w:val="nil"/>
              <w:bottom w:val="single" w:color="000000" w:sz="4" w:space="0"/>
              <w:right w:val="single" w:color="000000" w:sz="4" w:space="0"/>
            </w:tcBorders>
            <w:noWrap w:val="0"/>
            <w:vAlign w:val="center"/>
          </w:tcPr>
          <w:p>
            <w:pPr>
              <w:autoSpaceDE w:val="0"/>
              <w:autoSpaceDN w:val="0"/>
              <w:jc w:val="center"/>
              <w:rPr>
                <w:rFonts w:ascii="仿宋_GB2312" w:eastAsia="仿宋_GB2312"/>
                <w:b/>
                <w:kern w:val="0"/>
                <w:sz w:val="32"/>
                <w:szCs w:val="32"/>
              </w:rPr>
            </w:pPr>
            <w:r>
              <w:rPr>
                <w:rFonts w:hint="eastAsia" w:ascii="仿宋_GB2312" w:eastAsia="仿宋_GB2312"/>
                <w:b/>
                <w:kern w:val="0"/>
                <w:sz w:val="32"/>
                <w:szCs w:val="32"/>
              </w:rPr>
              <w:t>工     作    安    排</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413"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8"/>
                <w:szCs w:val="28"/>
              </w:rPr>
            </w:pPr>
            <w:bookmarkStart w:id="1" w:name="OLE_LINK21"/>
            <w:bookmarkStart w:id="2" w:name="OLE_LINK22"/>
            <w:bookmarkStart w:id="3" w:name="OLE_LINK20"/>
            <w:bookmarkStart w:id="4" w:name="OLE_LINK23"/>
            <w:r>
              <w:rPr>
                <w:rFonts w:hint="eastAsia" w:ascii="仿宋_GB2312" w:eastAsia="仿宋_GB2312"/>
                <w:sz w:val="28"/>
                <w:szCs w:val="28"/>
              </w:rPr>
              <w:t>4月13日前</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报考人员完成注册</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722"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8"/>
                <w:szCs w:val="28"/>
              </w:rPr>
            </w:pPr>
            <w:r>
              <w:rPr>
                <w:rFonts w:hint="eastAsia" w:ascii="仿宋_GB2312" w:eastAsia="仿宋_GB2312"/>
                <w:sz w:val="28"/>
                <w:szCs w:val="28"/>
              </w:rPr>
              <w:t>4月9日9时-15日17时</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报考人员网上提交报考信息</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722"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8"/>
                <w:szCs w:val="28"/>
              </w:rPr>
            </w:pPr>
            <w:r>
              <w:rPr>
                <w:rFonts w:hint="eastAsia" w:ascii="仿宋_GB2312" w:eastAsia="仿宋_GB2312"/>
                <w:sz w:val="28"/>
                <w:szCs w:val="28"/>
              </w:rPr>
              <w:t>4月16日</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须现场资格审核报考人员按照属地原则到各市考试机构进行现场人工核查；各市考试机构完成对通过网上或现场人工核查符合报考条件报考人员的后台确认工作</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722"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4"/>
              </w:rPr>
            </w:pPr>
            <w:r>
              <w:rPr>
                <w:rFonts w:hint="eastAsia" w:ascii="仿宋_GB2312" w:eastAsia="仿宋_GB2312"/>
                <w:sz w:val="24"/>
              </w:rPr>
              <w:t>4月17日17时前</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报考人员完成网上缴费</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722" w:hRule="atLeast"/>
        </w:trPr>
        <w:tc>
          <w:tcPr>
            <w:tcW w:w="2093" w:type="dxa"/>
            <w:gridSpan w:val="2"/>
            <w:tcBorders>
              <w:top w:val="nil"/>
              <w:left w:val="single" w:color="auto" w:sz="4" w:space="0"/>
              <w:bottom w:val="single" w:color="000000" w:sz="4" w:space="0"/>
              <w:right w:val="single" w:color="000000" w:sz="4" w:space="0"/>
            </w:tcBorders>
            <w:noWrap w:val="0"/>
            <w:vAlign w:val="center"/>
          </w:tcPr>
          <w:p>
            <w:pPr>
              <w:jc w:val="center"/>
              <w:rPr>
                <w:rFonts w:hint="eastAsia" w:ascii="仿宋_GB2312" w:eastAsia="仿宋_GB2312"/>
                <w:sz w:val="28"/>
                <w:szCs w:val="28"/>
              </w:rPr>
            </w:pPr>
            <w:r>
              <w:rPr>
                <w:rFonts w:hint="eastAsia" w:ascii="仿宋_GB2312" w:eastAsia="仿宋_GB2312"/>
                <w:sz w:val="28"/>
                <w:szCs w:val="28"/>
              </w:rPr>
              <w:t>6月5-14日</w:t>
            </w:r>
          </w:p>
        </w:tc>
        <w:tc>
          <w:tcPr>
            <w:tcW w:w="7087" w:type="dxa"/>
            <w:tcBorders>
              <w:top w:val="nil"/>
              <w:left w:val="single" w:color="auto" w:sz="4" w:space="0"/>
              <w:bottom w:val="single" w:color="000000" w:sz="4" w:space="0"/>
              <w:right w:val="single" w:color="000000" w:sz="4" w:space="0"/>
            </w:tcBorders>
            <w:noWrap w:val="0"/>
            <w:vAlign w:val="center"/>
          </w:tcPr>
          <w:p>
            <w:pPr>
              <w:rPr>
                <w:rFonts w:hint="eastAsia" w:ascii="仿宋_GB2312" w:eastAsia="仿宋_GB2312"/>
                <w:sz w:val="28"/>
                <w:szCs w:val="28"/>
              </w:rPr>
            </w:pPr>
            <w:r>
              <w:rPr>
                <w:rFonts w:hint="eastAsia" w:ascii="仿宋_GB2312" w:eastAsia="仿宋_GB2312"/>
                <w:sz w:val="28"/>
                <w:szCs w:val="28"/>
              </w:rPr>
              <w:t>已缴费的报考人员网上打印准考证</w:t>
            </w:r>
          </w:p>
        </w:tc>
      </w:tr>
      <w:bookmarkEnd w:id="1"/>
      <w:bookmarkEnd w:id="2"/>
      <w:bookmarkEnd w:id="3"/>
      <w:bookmarkEnd w:id="4"/>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1100" w:hRule="atLeast"/>
        </w:trPr>
        <w:tc>
          <w:tcPr>
            <w:tcW w:w="612" w:type="dxa"/>
            <w:vMerge w:val="restart"/>
            <w:tcBorders>
              <w:top w:val="nil"/>
              <w:left w:val="single" w:color="auto" w:sz="4" w:space="0"/>
              <w:bottom w:val="single" w:color="000000" w:sz="4" w:space="0"/>
              <w:right w:val="single" w:color="000000" w:sz="4" w:space="0"/>
            </w:tcBorders>
            <w:noWrap w:val="0"/>
            <w:vAlign w:val="center"/>
          </w:tcPr>
          <w:p>
            <w:pPr>
              <w:autoSpaceDE w:val="0"/>
              <w:autoSpaceDN w:val="0"/>
              <w:jc w:val="center"/>
              <w:rPr>
                <w:rFonts w:hint="eastAsia" w:ascii="仿宋_GB2312" w:eastAsia="仿宋_GB2312"/>
                <w:kern w:val="0"/>
                <w:sz w:val="24"/>
              </w:rPr>
            </w:pPr>
            <w:r>
              <w:rPr>
                <w:rFonts w:hint="eastAsia" w:ascii="仿宋_GB2312" w:eastAsia="仿宋_GB2312"/>
                <w:kern w:val="0"/>
                <w:sz w:val="24"/>
              </w:rPr>
              <w:t>考试时间</w:t>
            </w:r>
          </w:p>
        </w:tc>
        <w:tc>
          <w:tcPr>
            <w:tcW w:w="1481" w:type="dxa"/>
            <w:tcBorders>
              <w:top w:val="single" w:color="000000" w:sz="4" w:space="0"/>
              <w:left w:val="nil"/>
              <w:bottom w:val="single" w:color="000000" w:sz="4" w:space="0"/>
              <w:right w:val="single" w:color="000000" w:sz="4" w:space="0"/>
            </w:tcBorders>
            <w:noWrap w:val="0"/>
            <w:vAlign w:val="center"/>
          </w:tcPr>
          <w:p>
            <w:pPr>
              <w:autoSpaceDE w:val="0"/>
              <w:autoSpaceDN w:val="0"/>
              <w:jc w:val="center"/>
              <w:rPr>
                <w:rFonts w:hint="eastAsia" w:ascii="仿宋_GB2312" w:eastAsia="仿宋_GB2312"/>
                <w:kern w:val="0"/>
                <w:sz w:val="28"/>
                <w:szCs w:val="28"/>
              </w:rPr>
            </w:pPr>
            <w:r>
              <w:rPr>
                <w:rFonts w:hint="eastAsia" w:ascii="仿宋_GB2312" w:eastAsia="仿宋_GB2312"/>
                <w:kern w:val="0"/>
                <w:sz w:val="28"/>
                <w:szCs w:val="28"/>
              </w:rPr>
              <w:t>6月13日</w:t>
            </w:r>
          </w:p>
          <w:p>
            <w:pPr>
              <w:autoSpaceDE w:val="0"/>
              <w:autoSpaceDN w:val="0"/>
              <w:jc w:val="center"/>
              <w:rPr>
                <w:rFonts w:hint="eastAsia" w:ascii="仿宋_GB2312" w:eastAsia="仿宋_GB2312"/>
                <w:kern w:val="0"/>
                <w:sz w:val="28"/>
                <w:szCs w:val="28"/>
              </w:rPr>
            </w:pPr>
          </w:p>
        </w:tc>
        <w:tc>
          <w:tcPr>
            <w:tcW w:w="7087" w:type="dxa"/>
            <w:tcBorders>
              <w:top w:val="single" w:color="000000" w:sz="4" w:space="0"/>
              <w:left w:val="nil"/>
              <w:bottom w:val="single" w:color="000000" w:sz="4" w:space="0"/>
              <w:right w:val="single" w:color="000000" w:sz="4" w:space="0"/>
            </w:tcBorders>
            <w:noWrap w:val="0"/>
            <w:vAlign w:val="top"/>
          </w:tcPr>
          <w:p>
            <w:pPr>
              <w:spacing w:line="460" w:lineRule="exact"/>
              <w:rPr>
                <w:rFonts w:hint="eastAsia" w:eastAsia="仿宋"/>
                <w:sz w:val="28"/>
                <w:szCs w:val="28"/>
              </w:rPr>
            </w:pPr>
            <w:r>
              <w:rPr>
                <w:rFonts w:hint="eastAsia" w:eastAsia="仿宋"/>
                <w:sz w:val="28"/>
                <w:szCs w:val="28"/>
              </w:rPr>
              <w:t>上午9:00－11:30</w:t>
            </w:r>
          </w:p>
          <w:p>
            <w:pPr>
              <w:spacing w:line="460" w:lineRule="exact"/>
              <w:ind w:firstLine="560" w:firstLineChars="200"/>
              <w:rPr>
                <w:rFonts w:hint="eastAsia" w:eastAsia="仿宋"/>
                <w:sz w:val="28"/>
                <w:szCs w:val="28"/>
              </w:rPr>
            </w:pPr>
            <w:r>
              <w:rPr>
                <w:rFonts w:hint="eastAsia" w:eastAsia="仿宋"/>
                <w:sz w:val="28"/>
                <w:szCs w:val="28"/>
              </w:rPr>
              <w:t>计量法律法规及综合知识（一级）</w:t>
            </w:r>
          </w:p>
          <w:p>
            <w:pPr>
              <w:spacing w:line="460" w:lineRule="exact"/>
              <w:ind w:firstLine="560" w:firstLineChars="200"/>
              <w:rPr>
                <w:rFonts w:hint="eastAsia" w:eastAsia="仿宋"/>
                <w:sz w:val="28"/>
                <w:szCs w:val="28"/>
              </w:rPr>
            </w:pPr>
            <w:r>
              <w:rPr>
                <w:rFonts w:hint="eastAsia" w:eastAsia="仿宋"/>
                <w:sz w:val="28"/>
                <w:szCs w:val="28"/>
              </w:rPr>
              <w:t>计量法律法规及综合知识（二级）</w:t>
            </w:r>
          </w:p>
          <w:p>
            <w:pPr>
              <w:spacing w:line="460" w:lineRule="exact"/>
              <w:rPr>
                <w:rFonts w:hint="eastAsia" w:eastAsia="仿宋"/>
                <w:sz w:val="28"/>
                <w:szCs w:val="28"/>
              </w:rPr>
            </w:pPr>
            <w:r>
              <w:rPr>
                <w:rFonts w:hint="eastAsia" w:eastAsia="仿宋"/>
                <w:sz w:val="28"/>
                <w:szCs w:val="28"/>
              </w:rPr>
              <w:t>下午</w:t>
            </w:r>
            <w:r>
              <w:rPr>
                <w:rFonts w:hint="eastAsia" w:eastAsia="仿宋"/>
                <w:sz w:val="28"/>
                <w:szCs w:val="28"/>
                <w:lang w:val="en-US" w:eastAsia="zh-CN"/>
              </w:rPr>
              <w:t>2</w:t>
            </w:r>
            <w:r>
              <w:rPr>
                <w:rFonts w:hint="eastAsia" w:eastAsia="仿宋"/>
                <w:sz w:val="28"/>
                <w:szCs w:val="28"/>
              </w:rPr>
              <w:t>:00－</w:t>
            </w:r>
            <w:r>
              <w:rPr>
                <w:rFonts w:hint="eastAsia" w:eastAsia="仿宋"/>
                <w:sz w:val="28"/>
                <w:szCs w:val="28"/>
                <w:lang w:val="en-US" w:eastAsia="zh-CN"/>
              </w:rPr>
              <w:t>4</w:t>
            </w:r>
            <w:bookmarkStart w:id="5" w:name="_GoBack"/>
            <w:bookmarkEnd w:id="5"/>
            <w:r>
              <w:rPr>
                <w:rFonts w:hint="eastAsia" w:eastAsia="仿宋"/>
                <w:sz w:val="28"/>
                <w:szCs w:val="28"/>
              </w:rPr>
              <w:t>:30</w:t>
            </w:r>
          </w:p>
          <w:p>
            <w:pPr>
              <w:spacing w:line="460" w:lineRule="exact"/>
              <w:ind w:firstLine="560" w:firstLineChars="200"/>
              <w:rPr>
                <w:rFonts w:hint="eastAsia" w:eastAsia="仿宋"/>
                <w:sz w:val="28"/>
                <w:szCs w:val="28"/>
              </w:rPr>
            </w:pPr>
            <w:r>
              <w:rPr>
                <w:rFonts w:hint="eastAsia" w:eastAsia="仿宋"/>
                <w:sz w:val="28"/>
                <w:szCs w:val="28"/>
              </w:rPr>
              <w:t>测量数据处理与计量专业实务（一级）</w:t>
            </w:r>
          </w:p>
          <w:p>
            <w:pPr>
              <w:spacing w:line="460" w:lineRule="exact"/>
              <w:ind w:firstLine="610" w:firstLineChars="218"/>
              <w:rPr>
                <w:rFonts w:eastAsia="仿宋"/>
                <w:sz w:val="28"/>
                <w:szCs w:val="28"/>
              </w:rPr>
            </w:pPr>
            <w:r>
              <w:rPr>
                <w:rFonts w:hint="eastAsia" w:eastAsia="仿宋"/>
                <w:sz w:val="28"/>
                <w:szCs w:val="28"/>
              </w:rPr>
              <w:t>计量专业实务与案例分析（二级）</w:t>
            </w:r>
          </w:p>
        </w:tc>
      </w:tr>
      <w:tr>
        <w:tblPrEx>
          <w:tblBorders>
            <w:top w:val="none" w:color="auto" w:sz="0" w:space="0"/>
            <w:left w:val="single" w:color="000000" w:sz="8" w:space="0"/>
            <w:bottom w:val="none" w:color="auto" w:sz="0" w:space="0"/>
            <w:right w:val="single" w:color="000000" w:sz="8" w:space="0"/>
            <w:insideH w:val="none" w:color="auto" w:sz="0" w:space="0"/>
            <w:insideV w:val="none" w:color="auto" w:sz="0" w:space="0"/>
          </w:tblBorders>
          <w:tblCellMar>
            <w:top w:w="0" w:type="dxa"/>
            <w:left w:w="108" w:type="dxa"/>
            <w:bottom w:w="0" w:type="dxa"/>
            <w:right w:w="108" w:type="dxa"/>
          </w:tblCellMar>
        </w:tblPrEx>
        <w:trPr>
          <w:cantSplit/>
          <w:trHeight w:val="994" w:hRule="atLeast"/>
        </w:trPr>
        <w:tc>
          <w:tcPr>
            <w:tcW w:w="612" w:type="dxa"/>
            <w:vMerge w:val="continue"/>
            <w:tcBorders>
              <w:top w:val="nil"/>
              <w:left w:val="single" w:color="auto" w:sz="4" w:space="0"/>
              <w:bottom w:val="single" w:color="000000" w:sz="4" w:space="0"/>
              <w:right w:val="single" w:color="000000" w:sz="4" w:space="0"/>
            </w:tcBorders>
            <w:noWrap w:val="0"/>
            <w:vAlign w:val="center"/>
          </w:tcPr>
          <w:p>
            <w:pPr>
              <w:autoSpaceDE w:val="0"/>
              <w:autoSpaceDN w:val="0"/>
              <w:jc w:val="center"/>
              <w:rPr>
                <w:rFonts w:hint="eastAsia" w:ascii="仿宋_GB2312" w:eastAsia="仿宋_GB2312"/>
                <w:kern w:val="0"/>
                <w:sz w:val="24"/>
              </w:rPr>
            </w:pPr>
          </w:p>
        </w:tc>
        <w:tc>
          <w:tcPr>
            <w:tcW w:w="1481" w:type="dxa"/>
            <w:tcBorders>
              <w:top w:val="single" w:color="000000" w:sz="4" w:space="0"/>
              <w:left w:val="nil"/>
              <w:bottom w:val="single" w:color="000000" w:sz="4" w:space="0"/>
              <w:right w:val="single" w:color="000000" w:sz="4" w:space="0"/>
            </w:tcBorders>
            <w:noWrap w:val="0"/>
            <w:vAlign w:val="center"/>
          </w:tcPr>
          <w:p>
            <w:pPr>
              <w:autoSpaceDE w:val="0"/>
              <w:autoSpaceDN w:val="0"/>
              <w:jc w:val="center"/>
              <w:rPr>
                <w:rFonts w:hint="eastAsia" w:ascii="仿宋_GB2312" w:eastAsia="仿宋_GB2312"/>
                <w:kern w:val="0"/>
                <w:sz w:val="28"/>
                <w:szCs w:val="28"/>
              </w:rPr>
            </w:pPr>
            <w:r>
              <w:rPr>
                <w:rFonts w:hint="eastAsia" w:ascii="仿宋_GB2312" w:eastAsia="仿宋_GB2312"/>
                <w:kern w:val="0"/>
                <w:sz w:val="28"/>
                <w:szCs w:val="28"/>
              </w:rPr>
              <w:t>6月14日</w:t>
            </w:r>
          </w:p>
        </w:tc>
        <w:tc>
          <w:tcPr>
            <w:tcW w:w="7087" w:type="dxa"/>
            <w:tcBorders>
              <w:top w:val="single" w:color="000000" w:sz="4" w:space="0"/>
              <w:left w:val="nil"/>
              <w:bottom w:val="single" w:color="000000" w:sz="4" w:space="0"/>
              <w:right w:val="single" w:color="000000" w:sz="4" w:space="0"/>
            </w:tcBorders>
            <w:noWrap w:val="0"/>
            <w:vAlign w:val="top"/>
          </w:tcPr>
          <w:p>
            <w:pPr>
              <w:spacing w:line="460" w:lineRule="exact"/>
              <w:rPr>
                <w:rFonts w:hint="eastAsia" w:eastAsia="仿宋"/>
                <w:sz w:val="28"/>
                <w:szCs w:val="28"/>
              </w:rPr>
            </w:pPr>
            <w:r>
              <w:rPr>
                <w:rFonts w:hint="eastAsia" w:eastAsia="仿宋"/>
                <w:sz w:val="28"/>
                <w:szCs w:val="28"/>
              </w:rPr>
              <w:t>上午9:00－12:00</w:t>
            </w:r>
          </w:p>
          <w:p>
            <w:pPr>
              <w:spacing w:line="460" w:lineRule="exact"/>
              <w:ind w:firstLine="610" w:firstLineChars="218"/>
              <w:rPr>
                <w:rFonts w:eastAsia="仿宋"/>
                <w:sz w:val="28"/>
                <w:szCs w:val="28"/>
              </w:rPr>
            </w:pPr>
            <w:r>
              <w:rPr>
                <w:rFonts w:hint="eastAsia" w:eastAsia="仿宋"/>
                <w:sz w:val="28"/>
                <w:szCs w:val="28"/>
              </w:rPr>
              <w:t>计量专业案例分析（一级）</w:t>
            </w:r>
          </w:p>
        </w:tc>
      </w:tr>
    </w:tbl>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page" w:x="5062" w:y="33"/>
      <w:rPr>
        <w:rStyle w:val="6"/>
        <w:rFonts w:hint="eastAsia"/>
      </w:rPr>
    </w:pP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autoSpaceDE w:val="0"/>
      <w:autoSpaceDN w:val="0"/>
      <w:adjustRightInd w:val="0"/>
      <w:ind w:firstLine="480"/>
      <w:jc w:val="left"/>
      <w:rPr>
        <w:rFonts w:ascii="宋体"/>
        <w:kern w:val="0"/>
        <w:sz w:val="2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3A7CE1"/>
    <w:rsid w:val="1D3A7CE1"/>
    <w:rsid w:val="27873FBC"/>
    <w:rsid w:val="64F2325B"/>
    <w:rsid w:val="73844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99"/>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18</TotalTime>
  <ScaleCrop>false</ScaleCrop>
  <LinksUpToDate>false</LinksUpToDate>
  <CharactersWithSpaces>0</CharactersWithSpaces>
  <Application>WPS Office_11.8.2.11734_F1E327BC-269C-435d-A152-05C5408002CA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2026-03-24T03:27:00Z</dcterms:created>
  <dc:creator>Y</dc:creator>
  <cp:lastModifiedBy>lenovo</cp:lastModifiedBy>
  <dcterms:modified xsi:type="dcterms:W3CDTF">2026-03-26T00:57:39Z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418351E826A6428B9FFE79681DE975CB</vt:lpwstr>
  </property>
</Properties>
</file>